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EF" w:rsidRDefault="00673704" w:rsidP="00E521E7">
      <w:pPr>
        <w:jc w:val="center"/>
        <w:rPr>
          <w:rFonts w:ascii="Arial" w:hAnsi="Arial" w:cs="Arial"/>
          <w:snapToGrid w:val="0"/>
          <w:sz w:val="22"/>
          <w:szCs w:val="22"/>
        </w:rPr>
      </w:pPr>
      <w:r>
        <w:rPr>
          <w:rFonts w:ascii="Arial" w:hAnsi="Arial" w:cs="Arial"/>
          <w:snapToGrid w:val="0"/>
          <w:sz w:val="22"/>
          <w:szCs w:val="22"/>
        </w:rPr>
        <w:t>CBN-1025</w:t>
      </w:r>
    </w:p>
    <w:p w:rsidR="00C53BCB" w:rsidRDefault="00C53BCB" w:rsidP="00E521E7">
      <w:pPr>
        <w:jc w:val="center"/>
        <w:rPr>
          <w:rFonts w:ascii="Arial" w:hAnsi="Arial" w:cs="Arial"/>
          <w:snapToGrid w:val="0"/>
          <w:sz w:val="22"/>
          <w:szCs w:val="22"/>
        </w:rPr>
      </w:pPr>
    </w:p>
    <w:p w:rsidR="00C53BCB" w:rsidRDefault="00C53BCB" w:rsidP="00E521E7">
      <w:pPr>
        <w:jc w:val="center"/>
        <w:rPr>
          <w:rFonts w:ascii="Arial" w:hAnsi="Arial" w:cs="Arial"/>
          <w:snapToGrid w:val="0"/>
          <w:sz w:val="22"/>
          <w:szCs w:val="22"/>
        </w:rPr>
      </w:pPr>
    </w:p>
    <w:p w:rsidR="00C53BCB" w:rsidRDefault="00C53BCB" w:rsidP="00E521E7">
      <w:pPr>
        <w:jc w:val="center"/>
        <w:rPr>
          <w:rFonts w:ascii="Arial" w:hAnsi="Arial" w:cs="Arial"/>
          <w:snapToGrid w:val="0"/>
          <w:sz w:val="22"/>
          <w:szCs w:val="22"/>
        </w:rPr>
      </w:pPr>
    </w:p>
    <w:p w:rsidR="00132BEA" w:rsidRDefault="00132BEA" w:rsidP="00E521E7">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r w:rsidRPr="00612FF7">
        <w:rPr>
          <w:rFonts w:ascii="Arial" w:hAnsi="Arial" w:cs="Arial"/>
          <w:snapToGrid w:val="0"/>
          <w:sz w:val="22"/>
          <w:szCs w:val="22"/>
        </w:rPr>
        <w:t>SISTEMA DE GESTIÓN DE CALIDAD</w:t>
      </w:r>
    </w:p>
    <w:p w:rsidR="00E521E7" w:rsidRPr="00612FF7" w:rsidRDefault="00E521E7" w:rsidP="00400349">
      <w:pPr>
        <w:jc w:val="center"/>
        <w:rPr>
          <w:rFonts w:ascii="Arial" w:hAnsi="Arial" w:cs="Arial"/>
          <w:snapToGrid w:val="0"/>
          <w:sz w:val="22"/>
          <w:szCs w:val="22"/>
        </w:rPr>
      </w:pPr>
      <w:r w:rsidRPr="00612FF7">
        <w:rPr>
          <w:rFonts w:ascii="Arial" w:hAnsi="Arial" w:cs="Arial"/>
          <w:snapToGrid w:val="0"/>
          <w:sz w:val="22"/>
          <w:szCs w:val="22"/>
        </w:rPr>
        <w:t>PROCESO DE GESTION FINANCIERA</w:t>
      </w: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Default="00302890" w:rsidP="00302890">
      <w:pPr>
        <w:jc w:val="center"/>
        <w:rPr>
          <w:rFonts w:ascii="Arial" w:hAnsi="Arial" w:cs="Arial"/>
          <w:sz w:val="22"/>
          <w:szCs w:val="22"/>
        </w:rPr>
      </w:pPr>
      <w:r>
        <w:rPr>
          <w:rFonts w:ascii="Arial" w:hAnsi="Arial" w:cs="Arial"/>
          <w:sz w:val="22"/>
          <w:szCs w:val="22"/>
        </w:rPr>
        <w:t>INFORME DE GESTIO</w:t>
      </w:r>
      <w:r w:rsidR="00A96E91">
        <w:rPr>
          <w:rFonts w:ascii="Arial" w:hAnsi="Arial" w:cs="Arial"/>
          <w:sz w:val="22"/>
          <w:szCs w:val="22"/>
        </w:rPr>
        <w:t>N</w:t>
      </w:r>
    </w:p>
    <w:p w:rsidR="00302890" w:rsidRPr="00302890" w:rsidRDefault="002637A3" w:rsidP="00302890">
      <w:pPr>
        <w:jc w:val="center"/>
        <w:rPr>
          <w:rFonts w:ascii="Arial" w:hAnsi="Arial" w:cs="Arial"/>
          <w:sz w:val="22"/>
          <w:szCs w:val="22"/>
        </w:rPr>
      </w:pPr>
      <w:r>
        <w:rPr>
          <w:rFonts w:ascii="Arial" w:hAnsi="Arial" w:cs="Arial"/>
          <w:sz w:val="22"/>
          <w:szCs w:val="22"/>
        </w:rPr>
        <w:t>Diciembre 31</w:t>
      </w:r>
      <w:r w:rsidR="005F7B2F">
        <w:rPr>
          <w:rFonts w:ascii="Arial" w:hAnsi="Arial" w:cs="Arial"/>
          <w:sz w:val="22"/>
          <w:szCs w:val="22"/>
        </w:rPr>
        <w:t xml:space="preserve"> DE 201</w:t>
      </w:r>
      <w:r w:rsidR="00646BCE">
        <w:rPr>
          <w:rFonts w:ascii="Arial" w:hAnsi="Arial" w:cs="Arial"/>
          <w:sz w:val="22"/>
          <w:szCs w:val="22"/>
        </w:rPr>
        <w:t>9</w:t>
      </w: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p>
    <w:p w:rsidR="00E521E7" w:rsidRPr="00612FF7" w:rsidRDefault="00E521E7" w:rsidP="00400349">
      <w:pPr>
        <w:jc w:val="center"/>
        <w:rPr>
          <w:rFonts w:ascii="Arial" w:hAnsi="Arial" w:cs="Arial"/>
          <w:snapToGrid w:val="0"/>
          <w:sz w:val="22"/>
          <w:szCs w:val="22"/>
        </w:rPr>
      </w:pPr>
    </w:p>
    <w:p w:rsidR="00E521E7" w:rsidRPr="00612FF7" w:rsidRDefault="00870453" w:rsidP="00400349">
      <w:pPr>
        <w:jc w:val="center"/>
        <w:rPr>
          <w:rFonts w:ascii="Arial" w:hAnsi="Arial" w:cs="Arial"/>
          <w:sz w:val="22"/>
          <w:szCs w:val="22"/>
        </w:rPr>
      </w:pPr>
      <w:r>
        <w:rPr>
          <w:rFonts w:ascii="Arial" w:hAnsi="Arial" w:cs="Arial"/>
          <w:snapToGrid w:val="0"/>
          <w:sz w:val="22"/>
          <w:szCs w:val="22"/>
        </w:rPr>
        <w:t>CARLOS EDUARDO MALDONADO GRANADOS</w:t>
      </w:r>
    </w:p>
    <w:p w:rsidR="00E521E7" w:rsidRPr="00612FF7" w:rsidRDefault="00E521E7" w:rsidP="00400349">
      <w:pPr>
        <w:jc w:val="center"/>
        <w:rPr>
          <w:rFonts w:ascii="Arial" w:hAnsi="Arial" w:cs="Arial"/>
          <w:sz w:val="22"/>
          <w:szCs w:val="22"/>
        </w:rPr>
      </w:pPr>
      <w:r w:rsidRPr="00612FF7">
        <w:rPr>
          <w:rFonts w:ascii="Arial" w:hAnsi="Arial" w:cs="Arial"/>
          <w:sz w:val="22"/>
          <w:szCs w:val="22"/>
        </w:rPr>
        <w:t>Subdirector Financiero</w:t>
      </w: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p>
    <w:p w:rsidR="00E521E7" w:rsidRDefault="00E521E7" w:rsidP="00400349">
      <w:pPr>
        <w:jc w:val="center"/>
        <w:rPr>
          <w:rFonts w:ascii="Arial" w:hAnsi="Arial" w:cs="Arial"/>
          <w:sz w:val="22"/>
          <w:szCs w:val="22"/>
        </w:rPr>
      </w:pPr>
      <w:r w:rsidRPr="00612FF7">
        <w:rPr>
          <w:rFonts w:ascii="Arial" w:hAnsi="Arial" w:cs="Arial"/>
          <w:sz w:val="22"/>
          <w:szCs w:val="22"/>
        </w:rPr>
        <w:t>SUBDIRECCIÓN FINANCIERA</w:t>
      </w:r>
    </w:p>
    <w:p w:rsidR="00302890" w:rsidRPr="00302890" w:rsidRDefault="002637A3" w:rsidP="00302890">
      <w:pPr>
        <w:jc w:val="center"/>
        <w:rPr>
          <w:rFonts w:ascii="Arial" w:hAnsi="Arial" w:cs="Arial"/>
          <w:sz w:val="22"/>
          <w:szCs w:val="22"/>
        </w:rPr>
      </w:pPr>
      <w:r>
        <w:rPr>
          <w:rFonts w:ascii="Arial" w:hAnsi="Arial" w:cs="Arial"/>
          <w:sz w:val="22"/>
          <w:szCs w:val="22"/>
        </w:rPr>
        <w:t>Diciembre</w:t>
      </w:r>
      <w:r w:rsidR="00FB7CDA">
        <w:rPr>
          <w:rFonts w:ascii="Arial" w:hAnsi="Arial" w:cs="Arial"/>
          <w:sz w:val="22"/>
          <w:szCs w:val="22"/>
        </w:rPr>
        <w:t xml:space="preserve"> </w:t>
      </w:r>
      <w:r>
        <w:rPr>
          <w:rFonts w:ascii="Arial" w:hAnsi="Arial" w:cs="Arial"/>
          <w:sz w:val="22"/>
          <w:szCs w:val="22"/>
        </w:rPr>
        <w:t xml:space="preserve">31 </w:t>
      </w:r>
      <w:r w:rsidR="000B01EF">
        <w:rPr>
          <w:rFonts w:ascii="Arial" w:hAnsi="Arial" w:cs="Arial"/>
          <w:sz w:val="22"/>
          <w:szCs w:val="22"/>
        </w:rPr>
        <w:t>DE</w:t>
      </w:r>
      <w:r w:rsidR="005F7B2F">
        <w:rPr>
          <w:rFonts w:ascii="Arial" w:hAnsi="Arial" w:cs="Arial"/>
          <w:sz w:val="22"/>
          <w:szCs w:val="22"/>
        </w:rPr>
        <w:t xml:space="preserve"> 201</w:t>
      </w:r>
      <w:r w:rsidR="009D25A2">
        <w:rPr>
          <w:rFonts w:ascii="Arial" w:hAnsi="Arial" w:cs="Arial"/>
          <w:sz w:val="22"/>
          <w:szCs w:val="22"/>
        </w:rPr>
        <w:t>9</w:t>
      </w:r>
    </w:p>
    <w:p w:rsidR="00302890" w:rsidRPr="00612FF7" w:rsidRDefault="00302890" w:rsidP="00400349">
      <w:pPr>
        <w:jc w:val="center"/>
        <w:rPr>
          <w:rFonts w:ascii="Arial" w:hAnsi="Arial" w:cs="Arial"/>
          <w:sz w:val="22"/>
          <w:szCs w:val="22"/>
        </w:rPr>
      </w:pPr>
    </w:p>
    <w:p w:rsidR="00E521E7" w:rsidRPr="00612FF7" w:rsidRDefault="00E521E7" w:rsidP="00400349">
      <w:pPr>
        <w:jc w:val="center"/>
        <w:rPr>
          <w:rFonts w:ascii="Arial" w:hAnsi="Arial" w:cs="Arial"/>
          <w:sz w:val="22"/>
          <w:szCs w:val="22"/>
        </w:rPr>
      </w:pPr>
      <w:r w:rsidRPr="00612FF7">
        <w:rPr>
          <w:rFonts w:ascii="Arial" w:hAnsi="Arial" w:cs="Arial"/>
          <w:sz w:val="22"/>
          <w:szCs w:val="22"/>
        </w:rPr>
        <w:t>Bogotá, D.C</w:t>
      </w:r>
    </w:p>
    <w:p w:rsidR="00E521E7" w:rsidRPr="00612FF7" w:rsidRDefault="00E521E7" w:rsidP="00400349">
      <w:pPr>
        <w:jc w:val="center"/>
        <w:rPr>
          <w:rFonts w:ascii="Arial" w:hAnsi="Arial" w:cs="Arial"/>
          <w:sz w:val="22"/>
          <w:szCs w:val="22"/>
        </w:rPr>
      </w:pPr>
    </w:p>
    <w:p w:rsidR="00904124" w:rsidRDefault="00904124" w:rsidP="00400349">
      <w:pPr>
        <w:spacing w:after="160" w:line="259" w:lineRule="auto"/>
        <w:jc w:val="center"/>
        <w:rPr>
          <w:rFonts w:ascii="Arial" w:hAnsi="Arial" w:cs="Arial"/>
          <w:b/>
          <w:sz w:val="22"/>
          <w:szCs w:val="22"/>
        </w:rPr>
      </w:pPr>
      <w:r>
        <w:rPr>
          <w:rFonts w:ascii="Arial" w:hAnsi="Arial" w:cs="Arial"/>
          <w:b/>
          <w:sz w:val="22"/>
          <w:szCs w:val="22"/>
        </w:rPr>
        <w:br w:type="page"/>
      </w:r>
    </w:p>
    <w:p w:rsidR="007C07CE" w:rsidRPr="00612FF7" w:rsidRDefault="00612FF7" w:rsidP="007A04AE">
      <w:pPr>
        <w:spacing w:line="276" w:lineRule="auto"/>
        <w:jc w:val="center"/>
        <w:rPr>
          <w:rFonts w:ascii="Arial" w:hAnsi="Arial" w:cs="Arial"/>
          <w:b/>
          <w:sz w:val="22"/>
          <w:szCs w:val="22"/>
        </w:rPr>
      </w:pPr>
      <w:r w:rsidRPr="00612FF7">
        <w:rPr>
          <w:rFonts w:ascii="Arial" w:hAnsi="Arial" w:cs="Arial"/>
          <w:b/>
          <w:sz w:val="22"/>
          <w:szCs w:val="22"/>
        </w:rPr>
        <w:lastRenderedPageBreak/>
        <w:t>PRESENTACIÓN</w:t>
      </w:r>
    </w:p>
    <w:p w:rsidR="00612FF7" w:rsidRPr="00612FF7" w:rsidRDefault="00612FF7" w:rsidP="00CD17B2">
      <w:pPr>
        <w:spacing w:line="276" w:lineRule="auto"/>
        <w:jc w:val="both"/>
        <w:rPr>
          <w:rFonts w:ascii="Arial" w:hAnsi="Arial" w:cs="Arial"/>
          <w:sz w:val="22"/>
          <w:szCs w:val="22"/>
        </w:rPr>
      </w:pPr>
    </w:p>
    <w:p w:rsidR="00343538" w:rsidRPr="00C47020" w:rsidRDefault="00343538" w:rsidP="00343538">
      <w:pPr>
        <w:spacing w:line="276" w:lineRule="auto"/>
        <w:jc w:val="both"/>
        <w:rPr>
          <w:rFonts w:ascii="Arial" w:hAnsi="Arial" w:cs="Arial"/>
          <w:color w:val="000000" w:themeColor="text1"/>
          <w:sz w:val="22"/>
          <w:szCs w:val="22"/>
        </w:rPr>
      </w:pPr>
      <w:r w:rsidRPr="00C47020">
        <w:rPr>
          <w:rFonts w:ascii="Arial" w:hAnsi="Arial" w:cs="Arial"/>
          <w:color w:val="000000" w:themeColor="text1"/>
          <w:sz w:val="22"/>
          <w:szCs w:val="22"/>
        </w:rPr>
        <w:t xml:space="preserve">Los </w:t>
      </w:r>
      <w:r w:rsidR="00085B5D">
        <w:rPr>
          <w:rFonts w:ascii="Arial" w:hAnsi="Arial" w:cs="Arial"/>
          <w:color w:val="000000" w:themeColor="text1"/>
          <w:sz w:val="22"/>
          <w:szCs w:val="22"/>
        </w:rPr>
        <w:t>res</w:t>
      </w:r>
      <w:r w:rsidR="00576F81">
        <w:rPr>
          <w:rFonts w:ascii="Arial" w:hAnsi="Arial" w:cs="Arial"/>
          <w:color w:val="000000" w:themeColor="text1"/>
          <w:sz w:val="22"/>
          <w:szCs w:val="22"/>
        </w:rPr>
        <w:t>ultados presentados a</w:t>
      </w:r>
      <w:r w:rsidR="002637A3">
        <w:rPr>
          <w:rFonts w:ascii="Arial" w:hAnsi="Arial" w:cs="Arial"/>
          <w:color w:val="000000" w:themeColor="text1"/>
          <w:sz w:val="22"/>
          <w:szCs w:val="22"/>
        </w:rPr>
        <w:t xml:space="preserve"> </w:t>
      </w:r>
      <w:r w:rsidR="00C5541E">
        <w:rPr>
          <w:rFonts w:ascii="Arial" w:hAnsi="Arial" w:cs="Arial"/>
          <w:color w:val="000000" w:themeColor="text1"/>
          <w:sz w:val="22"/>
          <w:szCs w:val="22"/>
        </w:rPr>
        <w:t>diciembre</w:t>
      </w:r>
      <w:r w:rsidR="002637A3">
        <w:rPr>
          <w:rFonts w:ascii="Arial" w:hAnsi="Arial" w:cs="Arial"/>
          <w:color w:val="000000" w:themeColor="text1"/>
          <w:sz w:val="22"/>
          <w:szCs w:val="22"/>
        </w:rPr>
        <w:t xml:space="preserve"> 31</w:t>
      </w:r>
      <w:r w:rsidR="005F7B2F">
        <w:rPr>
          <w:rFonts w:ascii="Arial" w:hAnsi="Arial" w:cs="Arial"/>
          <w:color w:val="000000" w:themeColor="text1"/>
          <w:sz w:val="22"/>
          <w:szCs w:val="22"/>
        </w:rPr>
        <w:t xml:space="preserve"> de 201</w:t>
      </w:r>
      <w:r w:rsidR="00646BCE">
        <w:rPr>
          <w:rFonts w:ascii="Arial" w:hAnsi="Arial" w:cs="Arial"/>
          <w:color w:val="000000" w:themeColor="text1"/>
          <w:sz w:val="22"/>
          <w:szCs w:val="22"/>
        </w:rPr>
        <w:t>9</w:t>
      </w:r>
      <w:r w:rsidRPr="00C47020">
        <w:rPr>
          <w:rFonts w:ascii="Arial" w:hAnsi="Arial" w:cs="Arial"/>
          <w:color w:val="000000" w:themeColor="text1"/>
          <w:sz w:val="22"/>
          <w:szCs w:val="22"/>
        </w:rPr>
        <w:t>, reflejan la gestión desarrollada que co</w:t>
      </w:r>
      <w:r w:rsidR="00A8757C">
        <w:rPr>
          <w:rFonts w:ascii="Arial" w:hAnsi="Arial" w:cs="Arial"/>
          <w:color w:val="000000" w:themeColor="text1"/>
          <w:sz w:val="22"/>
          <w:szCs w:val="22"/>
        </w:rPr>
        <w:t>ntribuye al cumplimiento del Plan Estratégico 2016-2020 “Una Contraloría Aliada con Bogotá</w:t>
      </w:r>
      <w:r w:rsidRPr="00C47020">
        <w:rPr>
          <w:rFonts w:ascii="Arial" w:hAnsi="Arial" w:cs="Arial"/>
          <w:color w:val="000000" w:themeColor="text1"/>
          <w:sz w:val="22"/>
          <w:szCs w:val="22"/>
        </w:rPr>
        <w:t>” de la Contraloría de Bogo</w:t>
      </w:r>
      <w:r w:rsidR="00A8757C">
        <w:rPr>
          <w:rFonts w:ascii="Arial" w:hAnsi="Arial" w:cs="Arial"/>
          <w:color w:val="000000" w:themeColor="text1"/>
          <w:sz w:val="22"/>
          <w:szCs w:val="22"/>
        </w:rPr>
        <w:t>tá D.C</w:t>
      </w:r>
      <w:r w:rsidRPr="00C47020">
        <w:rPr>
          <w:rFonts w:ascii="Arial" w:hAnsi="Arial" w:cs="Arial"/>
          <w:color w:val="000000" w:themeColor="text1"/>
          <w:sz w:val="22"/>
          <w:szCs w:val="22"/>
        </w:rPr>
        <w:t>.</w:t>
      </w:r>
    </w:p>
    <w:p w:rsidR="00343538" w:rsidRPr="00C47020" w:rsidRDefault="00343538" w:rsidP="00343538">
      <w:pPr>
        <w:spacing w:line="276" w:lineRule="auto"/>
        <w:jc w:val="both"/>
        <w:rPr>
          <w:rFonts w:ascii="Arial" w:hAnsi="Arial" w:cs="Arial"/>
          <w:color w:val="000000" w:themeColor="text1"/>
          <w:sz w:val="22"/>
          <w:szCs w:val="22"/>
        </w:rPr>
      </w:pPr>
      <w:r w:rsidRPr="00C47020">
        <w:rPr>
          <w:rFonts w:ascii="Arial" w:hAnsi="Arial" w:cs="Arial"/>
          <w:color w:val="000000" w:themeColor="text1"/>
          <w:sz w:val="22"/>
          <w:szCs w:val="22"/>
        </w:rPr>
        <w:t xml:space="preserve">La Gestión Financiera como proceso de apoyo y para contribuir con el Plan Estratégico tiene como objetivo “Planear, ejecutar y hacer seguimiento a la ejecución presupuestal de los recursos apropiados a la Contraloría de Bogotá D.C., de acuerdo con la normatividad vigente, a través de herramientas e instrumentos con el fin de dar a conocer de manera oportuna y veraz, el nivel de ejecución para la toma de decisiones. De acuerdo a lo anterior, contribuye al objetivo corporativo </w:t>
      </w:r>
      <w:r w:rsidR="00CF0C1B">
        <w:rPr>
          <w:rFonts w:ascii="Arial" w:hAnsi="Arial" w:cs="Arial"/>
          <w:color w:val="000000" w:themeColor="text1"/>
          <w:sz w:val="22"/>
          <w:szCs w:val="22"/>
        </w:rPr>
        <w:t>No.</w:t>
      </w:r>
      <w:r w:rsidR="00CF0C1B" w:rsidRPr="00CF0C1B">
        <w:rPr>
          <w:rFonts w:ascii="Arial" w:hAnsi="Arial" w:cs="Arial"/>
          <w:color w:val="000000" w:themeColor="text1"/>
          <w:sz w:val="22"/>
          <w:szCs w:val="22"/>
        </w:rPr>
        <w:t>4. Fortalecer la capacidad institucional, optimizando los recursos, hacia un control fiscal efectivo</w:t>
      </w:r>
      <w:r w:rsidRPr="00C47020">
        <w:rPr>
          <w:rFonts w:ascii="Arial" w:hAnsi="Arial" w:cs="Arial"/>
          <w:color w:val="000000" w:themeColor="text1"/>
          <w:sz w:val="22"/>
          <w:szCs w:val="22"/>
        </w:rPr>
        <w:t xml:space="preserve">.; Estrategia </w:t>
      </w:r>
      <w:r w:rsidR="00CF0C1B">
        <w:rPr>
          <w:rFonts w:ascii="Arial" w:hAnsi="Arial" w:cs="Arial"/>
          <w:color w:val="000000" w:themeColor="text1"/>
          <w:sz w:val="22"/>
          <w:szCs w:val="22"/>
        </w:rPr>
        <w:t xml:space="preserve">No. </w:t>
      </w:r>
      <w:r w:rsidR="00CF0C1B" w:rsidRPr="00CF0C1B">
        <w:rPr>
          <w:rFonts w:ascii="Arial" w:hAnsi="Arial" w:cs="Arial"/>
          <w:color w:val="000000" w:themeColor="text1"/>
          <w:sz w:val="22"/>
          <w:szCs w:val="22"/>
        </w:rPr>
        <w:t>4.5. Optimizar los recursos físicos y Financieros que permitan satisfacer las necesidades de la gestión institucional.</w:t>
      </w:r>
    </w:p>
    <w:p w:rsidR="007C07CE" w:rsidRPr="00C47020" w:rsidRDefault="007C07CE" w:rsidP="00CD17B2">
      <w:pPr>
        <w:spacing w:line="276" w:lineRule="auto"/>
        <w:jc w:val="both"/>
        <w:rPr>
          <w:rFonts w:ascii="Arial" w:hAnsi="Arial" w:cs="Arial"/>
          <w:color w:val="000000" w:themeColor="text1"/>
          <w:sz w:val="22"/>
          <w:szCs w:val="22"/>
        </w:rPr>
      </w:pPr>
      <w:r w:rsidRPr="00C47020">
        <w:rPr>
          <w:rFonts w:ascii="Arial" w:hAnsi="Arial" w:cs="Arial"/>
          <w:color w:val="000000" w:themeColor="text1"/>
          <w:sz w:val="22"/>
          <w:szCs w:val="22"/>
        </w:rPr>
        <w:t>Para la vigencia 201</w:t>
      </w:r>
      <w:r w:rsidR="008B67BC">
        <w:rPr>
          <w:rFonts w:ascii="Arial" w:hAnsi="Arial" w:cs="Arial"/>
          <w:color w:val="000000" w:themeColor="text1"/>
          <w:sz w:val="22"/>
          <w:szCs w:val="22"/>
        </w:rPr>
        <w:t>9</w:t>
      </w:r>
      <w:r w:rsidRPr="00C47020">
        <w:rPr>
          <w:rFonts w:ascii="Arial" w:hAnsi="Arial" w:cs="Arial"/>
          <w:color w:val="000000" w:themeColor="text1"/>
          <w:sz w:val="22"/>
          <w:szCs w:val="22"/>
        </w:rPr>
        <w:t xml:space="preserve">, el Subdirector Financiero como responsable del proceso, junto </w:t>
      </w:r>
      <w:r w:rsidR="007A04AE" w:rsidRPr="00C47020">
        <w:rPr>
          <w:rFonts w:ascii="Arial" w:hAnsi="Arial" w:cs="Arial"/>
          <w:color w:val="000000" w:themeColor="text1"/>
          <w:sz w:val="22"/>
          <w:szCs w:val="22"/>
        </w:rPr>
        <w:t>con el recurso</w:t>
      </w:r>
      <w:r w:rsidR="00343538" w:rsidRPr="00C47020">
        <w:rPr>
          <w:rFonts w:ascii="Arial" w:hAnsi="Arial" w:cs="Arial"/>
          <w:color w:val="000000" w:themeColor="text1"/>
          <w:sz w:val="22"/>
          <w:szCs w:val="22"/>
        </w:rPr>
        <w:t xml:space="preserve"> humano de la S</w:t>
      </w:r>
      <w:r w:rsidRPr="00C47020">
        <w:rPr>
          <w:rFonts w:ascii="Arial" w:hAnsi="Arial" w:cs="Arial"/>
          <w:color w:val="000000" w:themeColor="text1"/>
          <w:sz w:val="22"/>
          <w:szCs w:val="22"/>
        </w:rPr>
        <w:t xml:space="preserve">ubdirección </w:t>
      </w:r>
      <w:r w:rsidR="00343538" w:rsidRPr="00C47020">
        <w:rPr>
          <w:rFonts w:ascii="Arial" w:hAnsi="Arial" w:cs="Arial"/>
          <w:color w:val="000000" w:themeColor="text1"/>
          <w:sz w:val="22"/>
          <w:szCs w:val="22"/>
        </w:rPr>
        <w:t>F</w:t>
      </w:r>
      <w:r w:rsidRPr="00C47020">
        <w:rPr>
          <w:rFonts w:ascii="Arial" w:hAnsi="Arial" w:cs="Arial"/>
          <w:color w:val="000000" w:themeColor="text1"/>
          <w:sz w:val="22"/>
          <w:szCs w:val="22"/>
        </w:rPr>
        <w:t>inanciera, estableci</w:t>
      </w:r>
      <w:r w:rsidR="007A04AE" w:rsidRPr="00C47020">
        <w:rPr>
          <w:rFonts w:ascii="Arial" w:hAnsi="Arial" w:cs="Arial"/>
          <w:color w:val="000000" w:themeColor="text1"/>
          <w:sz w:val="22"/>
          <w:szCs w:val="22"/>
        </w:rPr>
        <w:t>eron</w:t>
      </w:r>
      <w:r w:rsidRPr="00C47020">
        <w:rPr>
          <w:rFonts w:ascii="Arial" w:hAnsi="Arial" w:cs="Arial"/>
          <w:color w:val="000000" w:themeColor="text1"/>
          <w:sz w:val="22"/>
          <w:szCs w:val="22"/>
        </w:rPr>
        <w:t xml:space="preserve"> </w:t>
      </w:r>
      <w:r w:rsidR="00343538" w:rsidRPr="00C47020">
        <w:rPr>
          <w:rFonts w:ascii="Arial" w:hAnsi="Arial" w:cs="Arial"/>
          <w:color w:val="000000" w:themeColor="text1"/>
          <w:sz w:val="22"/>
          <w:szCs w:val="22"/>
        </w:rPr>
        <w:t xml:space="preserve">en el Plan de Acción del Proceso, </w:t>
      </w:r>
      <w:r w:rsidRPr="00C47020">
        <w:rPr>
          <w:rFonts w:ascii="Arial" w:hAnsi="Arial" w:cs="Arial"/>
          <w:color w:val="000000" w:themeColor="text1"/>
          <w:sz w:val="22"/>
          <w:szCs w:val="22"/>
        </w:rPr>
        <w:t xml:space="preserve">tres actividades representativas para realizar control y </w:t>
      </w:r>
      <w:r w:rsidR="00086FF5" w:rsidRPr="00C47020">
        <w:rPr>
          <w:rFonts w:ascii="Arial" w:hAnsi="Arial" w:cs="Arial"/>
          <w:color w:val="000000" w:themeColor="text1"/>
          <w:sz w:val="22"/>
          <w:szCs w:val="22"/>
        </w:rPr>
        <w:t>seguimiento</w:t>
      </w:r>
      <w:r w:rsidR="006F5812">
        <w:rPr>
          <w:rFonts w:ascii="Arial" w:hAnsi="Arial" w:cs="Arial"/>
          <w:color w:val="000000" w:themeColor="text1"/>
          <w:sz w:val="22"/>
          <w:szCs w:val="22"/>
        </w:rPr>
        <w:t xml:space="preserve"> las cuales se gestionaron al corte 30 de septiembre</w:t>
      </w:r>
      <w:r w:rsidR="00086FF5">
        <w:rPr>
          <w:rFonts w:ascii="Arial" w:hAnsi="Arial" w:cs="Arial"/>
          <w:color w:val="000000" w:themeColor="text1"/>
          <w:sz w:val="22"/>
          <w:szCs w:val="22"/>
        </w:rPr>
        <w:t>,</w:t>
      </w:r>
      <w:r w:rsidRPr="00C47020">
        <w:rPr>
          <w:rFonts w:ascii="Arial" w:hAnsi="Arial" w:cs="Arial"/>
          <w:color w:val="000000" w:themeColor="text1"/>
          <w:sz w:val="22"/>
          <w:szCs w:val="22"/>
        </w:rPr>
        <w:t xml:space="preserve"> siendo las siguientes:</w:t>
      </w:r>
    </w:p>
    <w:p w:rsidR="007C07CE" w:rsidRPr="00612FF7" w:rsidRDefault="00D96E2B"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Seguimiento</w:t>
      </w:r>
      <w:r w:rsidR="00D61217">
        <w:rPr>
          <w:rFonts w:ascii="Arial" w:hAnsi="Arial" w:cs="Arial"/>
          <w:sz w:val="22"/>
          <w:szCs w:val="22"/>
        </w:rPr>
        <w:t xml:space="preserve"> </w:t>
      </w:r>
      <w:r w:rsidR="006B0648">
        <w:rPr>
          <w:rFonts w:ascii="Arial" w:hAnsi="Arial" w:cs="Arial"/>
          <w:sz w:val="22"/>
          <w:szCs w:val="22"/>
        </w:rPr>
        <w:t>E</w:t>
      </w:r>
      <w:r w:rsidR="007C07CE" w:rsidRPr="00612FF7">
        <w:rPr>
          <w:rFonts w:ascii="Arial" w:hAnsi="Arial" w:cs="Arial"/>
          <w:sz w:val="22"/>
          <w:szCs w:val="22"/>
        </w:rPr>
        <w:t xml:space="preserve">jecución </w:t>
      </w:r>
      <w:r w:rsidR="006B0648">
        <w:rPr>
          <w:rFonts w:ascii="Arial" w:hAnsi="Arial" w:cs="Arial"/>
          <w:sz w:val="22"/>
          <w:szCs w:val="22"/>
        </w:rPr>
        <w:t>P</w:t>
      </w:r>
      <w:r w:rsidR="007C07CE" w:rsidRPr="00612FF7">
        <w:rPr>
          <w:rFonts w:ascii="Arial" w:hAnsi="Arial" w:cs="Arial"/>
          <w:sz w:val="22"/>
          <w:szCs w:val="22"/>
        </w:rPr>
        <w:t>resupuestal</w:t>
      </w:r>
    </w:p>
    <w:p w:rsidR="007C07CE" w:rsidRPr="00612FF7" w:rsidRDefault="00D96E2B"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 xml:space="preserve">Seguimiento a la </w:t>
      </w:r>
      <w:r w:rsidR="006B0648">
        <w:rPr>
          <w:rFonts w:ascii="Arial" w:hAnsi="Arial" w:cs="Arial"/>
          <w:sz w:val="22"/>
          <w:szCs w:val="22"/>
        </w:rPr>
        <w:t>E</w:t>
      </w:r>
      <w:r w:rsidR="00612FF7" w:rsidRPr="00612FF7">
        <w:rPr>
          <w:rFonts w:ascii="Arial" w:hAnsi="Arial" w:cs="Arial"/>
          <w:sz w:val="22"/>
          <w:szCs w:val="22"/>
        </w:rPr>
        <w:t xml:space="preserve">jecución de los </w:t>
      </w:r>
      <w:r w:rsidR="006B0648">
        <w:rPr>
          <w:rFonts w:ascii="Arial" w:hAnsi="Arial" w:cs="Arial"/>
          <w:sz w:val="22"/>
          <w:szCs w:val="22"/>
        </w:rPr>
        <w:t>R</w:t>
      </w:r>
      <w:r w:rsidR="00612FF7" w:rsidRPr="00612FF7">
        <w:rPr>
          <w:rFonts w:ascii="Arial" w:hAnsi="Arial" w:cs="Arial"/>
          <w:sz w:val="22"/>
          <w:szCs w:val="22"/>
        </w:rPr>
        <w:t>ecursos</w:t>
      </w:r>
      <w:r w:rsidR="00695767">
        <w:rPr>
          <w:rFonts w:ascii="Arial" w:hAnsi="Arial" w:cs="Arial"/>
          <w:sz w:val="22"/>
          <w:szCs w:val="22"/>
        </w:rPr>
        <w:t xml:space="preserve"> </w:t>
      </w:r>
      <w:r w:rsidR="006B0648">
        <w:rPr>
          <w:rFonts w:ascii="Arial" w:hAnsi="Arial" w:cs="Arial"/>
          <w:sz w:val="22"/>
          <w:szCs w:val="22"/>
        </w:rPr>
        <w:t>F</w:t>
      </w:r>
      <w:r w:rsidR="00695767">
        <w:rPr>
          <w:rFonts w:ascii="Arial" w:hAnsi="Arial" w:cs="Arial"/>
          <w:sz w:val="22"/>
          <w:szCs w:val="22"/>
        </w:rPr>
        <w:t>inancieros</w:t>
      </w:r>
    </w:p>
    <w:p w:rsidR="00BE7F71" w:rsidRDefault="006B0648" w:rsidP="006B0648">
      <w:pPr>
        <w:pStyle w:val="Prrafodelista"/>
        <w:numPr>
          <w:ilvl w:val="0"/>
          <w:numId w:val="20"/>
        </w:numPr>
        <w:spacing w:line="276" w:lineRule="auto"/>
        <w:jc w:val="both"/>
        <w:rPr>
          <w:rFonts w:ascii="Arial" w:hAnsi="Arial" w:cs="Arial"/>
          <w:sz w:val="22"/>
          <w:szCs w:val="22"/>
        </w:rPr>
      </w:pPr>
      <w:r>
        <w:rPr>
          <w:rFonts w:ascii="Arial" w:hAnsi="Arial" w:cs="Arial"/>
          <w:sz w:val="22"/>
          <w:szCs w:val="22"/>
        </w:rPr>
        <w:t>Presentación de E</w:t>
      </w:r>
      <w:r w:rsidR="00612FF7" w:rsidRPr="00612FF7">
        <w:rPr>
          <w:rFonts w:ascii="Arial" w:hAnsi="Arial" w:cs="Arial"/>
          <w:sz w:val="22"/>
          <w:szCs w:val="22"/>
        </w:rPr>
        <w:t>stados Financieros</w:t>
      </w:r>
    </w:p>
    <w:p w:rsidR="006F5812" w:rsidRDefault="006F5812" w:rsidP="006F5812">
      <w:pPr>
        <w:pStyle w:val="Prrafodelista"/>
        <w:spacing w:line="276" w:lineRule="auto"/>
        <w:jc w:val="both"/>
        <w:rPr>
          <w:rFonts w:ascii="Arial" w:hAnsi="Arial" w:cs="Arial"/>
          <w:sz w:val="22"/>
          <w:szCs w:val="22"/>
        </w:rPr>
      </w:pPr>
    </w:p>
    <w:p w:rsidR="006F5812" w:rsidRPr="006F5812" w:rsidRDefault="006F5812" w:rsidP="006F5812">
      <w:pPr>
        <w:spacing w:line="276" w:lineRule="auto"/>
        <w:jc w:val="both"/>
        <w:rPr>
          <w:rFonts w:ascii="Arial" w:hAnsi="Arial" w:cs="Arial"/>
          <w:color w:val="000000" w:themeColor="text1"/>
          <w:sz w:val="22"/>
          <w:szCs w:val="22"/>
        </w:rPr>
      </w:pPr>
      <w:r w:rsidRPr="006F5812">
        <w:rPr>
          <w:rFonts w:ascii="Arial" w:hAnsi="Arial" w:cs="Arial"/>
          <w:color w:val="000000" w:themeColor="text1"/>
          <w:sz w:val="22"/>
          <w:szCs w:val="22"/>
        </w:rPr>
        <w:t>A partir del 01 de octubre en conjunto con la Subdirección de Planeación</w:t>
      </w:r>
      <w:r w:rsidR="00D70D08">
        <w:rPr>
          <w:rFonts w:ascii="Arial" w:hAnsi="Arial" w:cs="Arial"/>
          <w:color w:val="000000" w:themeColor="text1"/>
          <w:sz w:val="22"/>
          <w:szCs w:val="22"/>
        </w:rPr>
        <w:t>,</w:t>
      </w:r>
      <w:r>
        <w:rPr>
          <w:rFonts w:ascii="Arial" w:hAnsi="Arial" w:cs="Arial"/>
          <w:color w:val="000000" w:themeColor="text1"/>
          <w:sz w:val="22"/>
          <w:szCs w:val="22"/>
        </w:rPr>
        <w:t xml:space="preserve"> se fijaron dos planes de acción los cuales se pueden medir y gestionar de forma directa sin la participación de las áreas que pueda afectar el resultado del indicador, las actividades definidas fueron:</w:t>
      </w:r>
    </w:p>
    <w:p w:rsidR="00302890" w:rsidRDefault="006F5812" w:rsidP="006F5812">
      <w:pPr>
        <w:pStyle w:val="Prrafodelista"/>
        <w:numPr>
          <w:ilvl w:val="0"/>
          <w:numId w:val="20"/>
        </w:numPr>
        <w:spacing w:line="276" w:lineRule="auto"/>
        <w:jc w:val="both"/>
        <w:rPr>
          <w:rFonts w:ascii="Arial" w:hAnsi="Arial" w:cs="Arial"/>
          <w:sz w:val="22"/>
          <w:szCs w:val="22"/>
        </w:rPr>
      </w:pPr>
      <w:r w:rsidRPr="006F5812">
        <w:rPr>
          <w:rFonts w:ascii="Arial" w:hAnsi="Arial" w:cs="Arial"/>
          <w:sz w:val="22"/>
          <w:szCs w:val="22"/>
        </w:rPr>
        <w:t>Realizar el seguimiento a la Ejecución Presupuestal.</w:t>
      </w:r>
    </w:p>
    <w:p w:rsidR="006F5812" w:rsidRPr="00BE7F71" w:rsidRDefault="006F5812" w:rsidP="006F5812">
      <w:pPr>
        <w:pStyle w:val="Prrafodelista"/>
        <w:numPr>
          <w:ilvl w:val="0"/>
          <w:numId w:val="20"/>
        </w:numPr>
        <w:spacing w:line="276" w:lineRule="auto"/>
        <w:jc w:val="both"/>
        <w:rPr>
          <w:rFonts w:ascii="Arial" w:hAnsi="Arial" w:cs="Arial"/>
          <w:sz w:val="22"/>
          <w:szCs w:val="22"/>
        </w:rPr>
      </w:pPr>
      <w:r w:rsidRPr="006F5812">
        <w:rPr>
          <w:rFonts w:ascii="Arial" w:hAnsi="Arial" w:cs="Arial"/>
          <w:sz w:val="22"/>
          <w:szCs w:val="22"/>
        </w:rPr>
        <w:t>Tramitar los pagos de las cuentas radicadas en el mes sin observaciones en la Subdirección Financiera (se excluye el trámite de pagos de viáticos)</w:t>
      </w:r>
      <w:r>
        <w:rPr>
          <w:rFonts w:ascii="Arial" w:hAnsi="Arial" w:cs="Arial"/>
          <w:sz w:val="22"/>
          <w:szCs w:val="22"/>
        </w:rPr>
        <w:t>.</w:t>
      </w:r>
    </w:p>
    <w:p w:rsidR="006B0648" w:rsidRDefault="006B0648" w:rsidP="00CD17B2">
      <w:pPr>
        <w:spacing w:after="0" w:line="276" w:lineRule="auto"/>
        <w:jc w:val="both"/>
        <w:rPr>
          <w:rFonts w:ascii="Arial" w:hAnsi="Arial" w:cs="Arial"/>
          <w:sz w:val="22"/>
          <w:szCs w:val="22"/>
        </w:rPr>
      </w:pPr>
    </w:p>
    <w:p w:rsidR="00BE7F71" w:rsidRDefault="007C07CE" w:rsidP="00CD17B2">
      <w:pPr>
        <w:spacing w:after="0" w:line="276" w:lineRule="auto"/>
        <w:jc w:val="both"/>
        <w:rPr>
          <w:rFonts w:ascii="Arial" w:hAnsi="Arial" w:cs="Arial"/>
          <w:sz w:val="22"/>
          <w:szCs w:val="22"/>
        </w:rPr>
      </w:pPr>
      <w:r w:rsidRPr="00612FF7">
        <w:rPr>
          <w:rFonts w:ascii="Arial" w:hAnsi="Arial" w:cs="Arial"/>
          <w:sz w:val="22"/>
          <w:szCs w:val="22"/>
        </w:rPr>
        <w:t>El presente informe tiene como objetivo suministrar datos, hacer seguimiento y realizar análisis a cada uno de las actividades nombradas correspond</w:t>
      </w:r>
      <w:r w:rsidR="007A04AE">
        <w:rPr>
          <w:rFonts w:ascii="Arial" w:hAnsi="Arial" w:cs="Arial"/>
          <w:sz w:val="22"/>
          <w:szCs w:val="22"/>
        </w:rPr>
        <w:t>ientes al Plan de Acción de la S</w:t>
      </w:r>
      <w:r w:rsidRPr="00612FF7">
        <w:rPr>
          <w:rFonts w:ascii="Arial" w:hAnsi="Arial" w:cs="Arial"/>
          <w:sz w:val="22"/>
          <w:szCs w:val="22"/>
        </w:rPr>
        <w:t xml:space="preserve">ubdirección </w:t>
      </w:r>
      <w:r w:rsidR="007A04AE">
        <w:rPr>
          <w:rFonts w:ascii="Arial" w:hAnsi="Arial" w:cs="Arial"/>
          <w:sz w:val="22"/>
          <w:szCs w:val="22"/>
        </w:rPr>
        <w:t>F</w:t>
      </w:r>
      <w:r w:rsidRPr="00612FF7">
        <w:rPr>
          <w:rFonts w:ascii="Arial" w:hAnsi="Arial" w:cs="Arial"/>
          <w:sz w:val="22"/>
          <w:szCs w:val="22"/>
        </w:rPr>
        <w:t xml:space="preserve">inanciera del periodo </w:t>
      </w:r>
      <w:r w:rsidR="002637A3">
        <w:rPr>
          <w:rFonts w:ascii="Arial" w:hAnsi="Arial" w:cs="Arial"/>
          <w:sz w:val="22"/>
          <w:szCs w:val="22"/>
        </w:rPr>
        <w:t>1 enero a 31 de diciembre</w:t>
      </w:r>
      <w:r w:rsidRPr="00612FF7">
        <w:rPr>
          <w:rFonts w:ascii="Arial" w:hAnsi="Arial" w:cs="Arial"/>
          <w:sz w:val="22"/>
          <w:szCs w:val="22"/>
        </w:rPr>
        <w:t xml:space="preserve"> del </w:t>
      </w:r>
      <w:r w:rsidR="007A04AE">
        <w:rPr>
          <w:rFonts w:ascii="Arial" w:hAnsi="Arial" w:cs="Arial"/>
          <w:sz w:val="22"/>
          <w:szCs w:val="22"/>
        </w:rPr>
        <w:t>201</w:t>
      </w:r>
      <w:r w:rsidR="00646BCE">
        <w:rPr>
          <w:rFonts w:ascii="Arial" w:hAnsi="Arial" w:cs="Arial"/>
          <w:sz w:val="22"/>
          <w:szCs w:val="22"/>
        </w:rPr>
        <w:t>9</w:t>
      </w:r>
      <w:r w:rsidR="007A04AE">
        <w:rPr>
          <w:rFonts w:ascii="Arial" w:hAnsi="Arial" w:cs="Arial"/>
          <w:sz w:val="22"/>
          <w:szCs w:val="22"/>
        </w:rPr>
        <w:t>.</w:t>
      </w:r>
      <w:r w:rsidR="00612FF7" w:rsidRPr="00612FF7">
        <w:rPr>
          <w:rFonts w:ascii="Arial" w:hAnsi="Arial" w:cs="Arial"/>
          <w:sz w:val="22"/>
          <w:szCs w:val="22"/>
        </w:rPr>
        <w:t xml:space="preserve"> </w:t>
      </w:r>
    </w:p>
    <w:p w:rsidR="00BE7F71" w:rsidRDefault="00BE7F71" w:rsidP="00CD17B2">
      <w:pPr>
        <w:spacing w:after="0" w:line="276" w:lineRule="auto"/>
        <w:jc w:val="both"/>
        <w:rPr>
          <w:rFonts w:ascii="Arial" w:hAnsi="Arial" w:cs="Arial"/>
          <w:sz w:val="22"/>
          <w:szCs w:val="22"/>
        </w:rPr>
      </w:pPr>
    </w:p>
    <w:p w:rsidR="00612FF7" w:rsidRPr="00612FF7" w:rsidRDefault="007A04AE" w:rsidP="00CD17B2">
      <w:pPr>
        <w:spacing w:after="0" w:line="276" w:lineRule="auto"/>
        <w:jc w:val="both"/>
        <w:rPr>
          <w:rFonts w:ascii="Arial" w:hAnsi="Arial" w:cs="Arial"/>
          <w:sz w:val="22"/>
          <w:szCs w:val="22"/>
          <w:lang w:val="es-MX"/>
        </w:rPr>
      </w:pPr>
      <w:r>
        <w:rPr>
          <w:rFonts w:ascii="Arial" w:hAnsi="Arial" w:cs="Arial"/>
          <w:sz w:val="22"/>
          <w:szCs w:val="22"/>
        </w:rPr>
        <w:t xml:space="preserve"> </w:t>
      </w:r>
    </w:p>
    <w:p w:rsidR="007C07CE" w:rsidRPr="00612FF7" w:rsidRDefault="00612FF7" w:rsidP="00CD17B2">
      <w:pPr>
        <w:spacing w:line="276" w:lineRule="auto"/>
        <w:jc w:val="both"/>
        <w:rPr>
          <w:rFonts w:ascii="Arial" w:hAnsi="Arial" w:cs="Arial"/>
          <w:sz w:val="22"/>
          <w:szCs w:val="22"/>
        </w:rPr>
      </w:pPr>
      <w:r w:rsidRPr="00612FF7">
        <w:rPr>
          <w:rFonts w:ascii="Arial" w:hAnsi="Arial" w:cs="Arial"/>
          <w:sz w:val="22"/>
          <w:szCs w:val="22"/>
        </w:rPr>
        <w:t xml:space="preserve"> </w:t>
      </w:r>
    </w:p>
    <w:p w:rsidR="007C07CE" w:rsidRDefault="007C07CE"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Default="00CD17B2" w:rsidP="00CD17B2">
      <w:pPr>
        <w:pStyle w:val="Prrafodelista"/>
        <w:spacing w:line="276" w:lineRule="auto"/>
        <w:jc w:val="both"/>
        <w:rPr>
          <w:rFonts w:ascii="Arial" w:hAnsi="Arial" w:cs="Arial"/>
          <w:sz w:val="22"/>
          <w:szCs w:val="22"/>
        </w:rPr>
      </w:pPr>
    </w:p>
    <w:p w:rsidR="00CD17B2" w:rsidRPr="00612FF7" w:rsidRDefault="00CD17B2" w:rsidP="00CD17B2">
      <w:pPr>
        <w:pStyle w:val="Prrafodelista"/>
        <w:spacing w:line="276" w:lineRule="auto"/>
        <w:jc w:val="both"/>
        <w:rPr>
          <w:rFonts w:ascii="Arial" w:hAnsi="Arial" w:cs="Arial"/>
          <w:sz w:val="22"/>
          <w:szCs w:val="22"/>
        </w:rPr>
      </w:pPr>
    </w:p>
    <w:p w:rsidR="007C07CE" w:rsidRDefault="007C07CE" w:rsidP="00CD17B2">
      <w:pPr>
        <w:pStyle w:val="Prrafodelista"/>
        <w:spacing w:line="276" w:lineRule="auto"/>
        <w:jc w:val="both"/>
        <w:rPr>
          <w:rFonts w:ascii="Arial" w:hAnsi="Arial" w:cs="Arial"/>
          <w:sz w:val="22"/>
          <w:szCs w:val="22"/>
        </w:rPr>
      </w:pPr>
    </w:p>
    <w:p w:rsidR="002F58D3" w:rsidRDefault="002F58D3" w:rsidP="00CD17B2">
      <w:pPr>
        <w:pStyle w:val="Prrafodelista"/>
        <w:spacing w:line="276" w:lineRule="auto"/>
        <w:jc w:val="both"/>
        <w:rPr>
          <w:rFonts w:ascii="Arial" w:hAnsi="Arial" w:cs="Arial"/>
          <w:sz w:val="22"/>
          <w:szCs w:val="22"/>
        </w:rPr>
      </w:pPr>
    </w:p>
    <w:p w:rsidR="002F58D3" w:rsidRPr="00612FF7" w:rsidRDefault="002F58D3" w:rsidP="00CD17B2">
      <w:pPr>
        <w:pStyle w:val="Prrafodelista"/>
        <w:spacing w:line="276" w:lineRule="auto"/>
        <w:jc w:val="both"/>
        <w:rPr>
          <w:rFonts w:ascii="Arial" w:hAnsi="Arial" w:cs="Arial"/>
          <w:sz w:val="22"/>
          <w:szCs w:val="22"/>
        </w:rPr>
      </w:pPr>
    </w:p>
    <w:p w:rsidR="00612FF7" w:rsidRDefault="00612FF7" w:rsidP="002F58D3">
      <w:pPr>
        <w:spacing w:line="276" w:lineRule="auto"/>
        <w:jc w:val="center"/>
        <w:rPr>
          <w:rFonts w:ascii="Arial" w:hAnsi="Arial" w:cs="Arial"/>
          <w:b/>
          <w:sz w:val="22"/>
          <w:szCs w:val="22"/>
        </w:rPr>
      </w:pPr>
      <w:r w:rsidRPr="00612FF7">
        <w:rPr>
          <w:rFonts w:ascii="Arial" w:hAnsi="Arial" w:cs="Arial"/>
          <w:b/>
          <w:sz w:val="22"/>
          <w:szCs w:val="22"/>
        </w:rPr>
        <w:t>TABLA DE CONTENIDO</w:t>
      </w:r>
    </w:p>
    <w:p w:rsidR="005B4D69" w:rsidRDefault="005B4D69" w:rsidP="00CD17B2">
      <w:pPr>
        <w:spacing w:line="276" w:lineRule="auto"/>
        <w:rPr>
          <w:rFonts w:ascii="Arial" w:hAnsi="Arial" w:cs="Arial"/>
          <w:b/>
          <w:sz w:val="22"/>
          <w:szCs w:val="22"/>
        </w:rPr>
      </w:pPr>
    </w:p>
    <w:p w:rsidR="00612FF7" w:rsidRPr="005B4D69" w:rsidRDefault="007C4B31" w:rsidP="005B4D69">
      <w:pPr>
        <w:pStyle w:val="Prrafodelista"/>
        <w:numPr>
          <w:ilvl w:val="0"/>
          <w:numId w:val="9"/>
        </w:numPr>
        <w:spacing w:line="720" w:lineRule="auto"/>
        <w:jc w:val="both"/>
        <w:rPr>
          <w:rFonts w:ascii="Arial" w:hAnsi="Arial" w:cs="Arial"/>
          <w:b/>
          <w:sz w:val="22"/>
          <w:szCs w:val="22"/>
        </w:rPr>
      </w:pPr>
      <w:r w:rsidRPr="005B4D69">
        <w:rPr>
          <w:rFonts w:ascii="Arial" w:hAnsi="Arial" w:cs="Arial"/>
          <w:b/>
          <w:sz w:val="22"/>
          <w:szCs w:val="22"/>
        </w:rPr>
        <w:t>RESULTADOS DE LA GESTIÓN (ANÁLISIS DE DATOS)</w:t>
      </w:r>
    </w:p>
    <w:p w:rsidR="00612FF7" w:rsidRPr="00612FF7" w:rsidRDefault="00612FF7" w:rsidP="005B4D69">
      <w:pPr>
        <w:pStyle w:val="Prrafodelista"/>
        <w:numPr>
          <w:ilvl w:val="1"/>
          <w:numId w:val="9"/>
        </w:numPr>
        <w:spacing w:line="720" w:lineRule="auto"/>
        <w:jc w:val="both"/>
        <w:rPr>
          <w:rFonts w:ascii="Arial" w:hAnsi="Arial" w:cs="Arial"/>
          <w:sz w:val="22"/>
          <w:szCs w:val="22"/>
        </w:rPr>
      </w:pPr>
      <w:r w:rsidRPr="00612FF7">
        <w:rPr>
          <w:rFonts w:ascii="Arial" w:hAnsi="Arial" w:cs="Arial"/>
          <w:sz w:val="22"/>
          <w:szCs w:val="22"/>
        </w:rPr>
        <w:t xml:space="preserve">Análisis </w:t>
      </w:r>
      <w:r w:rsidR="007A04AE">
        <w:rPr>
          <w:rFonts w:ascii="Arial" w:hAnsi="Arial" w:cs="Arial"/>
          <w:sz w:val="22"/>
          <w:szCs w:val="22"/>
        </w:rPr>
        <w:t>Plan de A</w:t>
      </w:r>
      <w:r w:rsidRPr="00612FF7">
        <w:rPr>
          <w:rFonts w:ascii="Arial" w:hAnsi="Arial" w:cs="Arial"/>
          <w:sz w:val="22"/>
          <w:szCs w:val="22"/>
        </w:rPr>
        <w:t>cción</w:t>
      </w:r>
    </w:p>
    <w:p w:rsidR="00612FF7" w:rsidRDefault="00612FF7" w:rsidP="00575CA9">
      <w:pPr>
        <w:pStyle w:val="Prrafodelista"/>
        <w:numPr>
          <w:ilvl w:val="1"/>
          <w:numId w:val="9"/>
        </w:numPr>
        <w:spacing w:after="0" w:line="240" w:lineRule="auto"/>
        <w:jc w:val="both"/>
        <w:rPr>
          <w:rFonts w:ascii="Arial" w:hAnsi="Arial" w:cs="Arial"/>
          <w:sz w:val="22"/>
          <w:szCs w:val="22"/>
        </w:rPr>
      </w:pPr>
      <w:r w:rsidRPr="00612FF7">
        <w:rPr>
          <w:rFonts w:ascii="Arial" w:hAnsi="Arial" w:cs="Arial"/>
          <w:sz w:val="22"/>
          <w:szCs w:val="22"/>
        </w:rPr>
        <w:t>Otros resultados</w:t>
      </w:r>
    </w:p>
    <w:p w:rsidR="00575CA9" w:rsidRDefault="00575CA9" w:rsidP="00575CA9">
      <w:pPr>
        <w:pStyle w:val="Prrafodelista"/>
        <w:spacing w:after="0" w:line="240" w:lineRule="auto"/>
        <w:ind w:left="1080"/>
        <w:jc w:val="both"/>
        <w:rPr>
          <w:rFonts w:ascii="Arial" w:hAnsi="Arial" w:cs="Arial"/>
          <w:sz w:val="22"/>
          <w:szCs w:val="22"/>
        </w:rPr>
      </w:pPr>
    </w:p>
    <w:p w:rsidR="00575CA9" w:rsidRDefault="00575CA9" w:rsidP="00575CA9">
      <w:pPr>
        <w:pStyle w:val="Prrafodelista"/>
        <w:numPr>
          <w:ilvl w:val="2"/>
          <w:numId w:val="9"/>
        </w:numPr>
        <w:spacing w:after="0" w:line="240" w:lineRule="auto"/>
        <w:jc w:val="both"/>
        <w:rPr>
          <w:rFonts w:ascii="Arial" w:hAnsi="Arial" w:cs="Arial"/>
          <w:sz w:val="22"/>
          <w:szCs w:val="22"/>
        </w:rPr>
      </w:pPr>
      <w:r w:rsidRPr="00575CA9">
        <w:rPr>
          <w:rFonts w:ascii="Arial" w:hAnsi="Arial" w:cs="Arial"/>
          <w:sz w:val="22"/>
          <w:szCs w:val="22"/>
        </w:rPr>
        <w:t>Actividades que han contribuido al Cumplimiento del Plan Estratégico y que no han sido contemplados en el Plan de Acción.</w:t>
      </w:r>
    </w:p>
    <w:p w:rsidR="00575CA9" w:rsidRPr="00575CA9" w:rsidRDefault="00575CA9" w:rsidP="00575CA9">
      <w:pPr>
        <w:pStyle w:val="Prrafodelista"/>
        <w:spacing w:after="0" w:line="240" w:lineRule="auto"/>
        <w:ind w:left="1800"/>
        <w:jc w:val="both"/>
        <w:rPr>
          <w:rFonts w:ascii="Arial" w:hAnsi="Arial" w:cs="Arial"/>
          <w:sz w:val="22"/>
          <w:szCs w:val="22"/>
        </w:rPr>
      </w:pPr>
    </w:p>
    <w:p w:rsidR="00124786" w:rsidRPr="00F73685" w:rsidRDefault="00124786" w:rsidP="00F73685">
      <w:pPr>
        <w:pStyle w:val="Prrafodelista"/>
        <w:numPr>
          <w:ilvl w:val="2"/>
          <w:numId w:val="9"/>
        </w:numPr>
        <w:rPr>
          <w:rFonts w:ascii="Arial" w:hAnsi="Arial" w:cs="Arial"/>
          <w:sz w:val="22"/>
          <w:szCs w:val="22"/>
          <w:lang w:val="es-MX"/>
        </w:rPr>
      </w:pPr>
      <w:r w:rsidRPr="00F73685">
        <w:rPr>
          <w:rFonts w:ascii="Arial" w:hAnsi="Arial" w:cs="Arial"/>
          <w:sz w:val="22"/>
          <w:szCs w:val="22"/>
        </w:rPr>
        <w:t xml:space="preserve"> </w:t>
      </w:r>
      <w:r w:rsidRPr="00F73685">
        <w:rPr>
          <w:rFonts w:ascii="Arial" w:hAnsi="Arial" w:cs="Arial"/>
          <w:sz w:val="22"/>
          <w:szCs w:val="22"/>
          <w:lang w:val="es-MX"/>
        </w:rPr>
        <w:t xml:space="preserve">En el aplicativo de la tesorería (OPGET)- PAGOS se realizó la      </w:t>
      </w:r>
    </w:p>
    <w:p w:rsidR="00124786" w:rsidRDefault="00124786" w:rsidP="00124786">
      <w:pPr>
        <w:pStyle w:val="Prrafodelista"/>
        <w:ind w:left="1800"/>
        <w:rPr>
          <w:rFonts w:ascii="Arial" w:hAnsi="Arial" w:cs="Arial"/>
          <w:sz w:val="22"/>
          <w:szCs w:val="22"/>
          <w:lang w:val="es-MX"/>
        </w:rPr>
      </w:pPr>
      <w:r w:rsidRPr="00124786">
        <w:rPr>
          <w:rFonts w:ascii="Arial" w:hAnsi="Arial" w:cs="Arial"/>
          <w:sz w:val="22"/>
          <w:szCs w:val="22"/>
          <w:lang w:val="es-MX"/>
        </w:rPr>
        <w:t>incorporación del proceso de CENTRAL DE CUENTAS consta de varias funcionalidades</w:t>
      </w:r>
      <w:r w:rsidR="00F73685">
        <w:rPr>
          <w:rFonts w:ascii="Arial" w:hAnsi="Arial" w:cs="Arial"/>
          <w:sz w:val="22"/>
          <w:szCs w:val="22"/>
          <w:lang w:val="es-MX"/>
        </w:rPr>
        <w:t>.</w:t>
      </w:r>
    </w:p>
    <w:p w:rsidR="00F73685" w:rsidRDefault="00F73685" w:rsidP="00124786">
      <w:pPr>
        <w:pStyle w:val="Prrafodelista"/>
        <w:ind w:left="1800"/>
        <w:rPr>
          <w:rFonts w:ascii="Arial" w:hAnsi="Arial" w:cs="Arial"/>
          <w:sz w:val="22"/>
          <w:szCs w:val="22"/>
          <w:lang w:val="es-MX"/>
        </w:rPr>
      </w:pPr>
    </w:p>
    <w:p w:rsidR="00F73685" w:rsidRDefault="00F73685" w:rsidP="00F73685">
      <w:pPr>
        <w:pStyle w:val="Prrafodelista"/>
        <w:numPr>
          <w:ilvl w:val="2"/>
          <w:numId w:val="9"/>
        </w:numPr>
        <w:rPr>
          <w:rFonts w:ascii="Arial" w:hAnsi="Arial" w:cs="Arial"/>
          <w:sz w:val="22"/>
          <w:szCs w:val="22"/>
          <w:lang w:val="es-MX"/>
        </w:rPr>
      </w:pPr>
      <w:r>
        <w:rPr>
          <w:rFonts w:ascii="Arial" w:hAnsi="Arial" w:cs="Arial"/>
          <w:sz w:val="22"/>
          <w:szCs w:val="22"/>
          <w:lang w:val="es-MX"/>
        </w:rPr>
        <w:t>C</w:t>
      </w:r>
      <w:r w:rsidRPr="00F73685">
        <w:rPr>
          <w:rFonts w:ascii="Arial" w:hAnsi="Arial" w:cs="Arial"/>
          <w:sz w:val="22"/>
          <w:szCs w:val="22"/>
          <w:lang w:val="es-MX"/>
        </w:rPr>
        <w:t>onvenio de recaudo código de barras</w:t>
      </w:r>
    </w:p>
    <w:p w:rsidR="00F73685" w:rsidRPr="00124786" w:rsidRDefault="00F73685" w:rsidP="00124786">
      <w:pPr>
        <w:pStyle w:val="Prrafodelista"/>
        <w:ind w:left="1800"/>
        <w:rPr>
          <w:rFonts w:ascii="Arial" w:hAnsi="Arial" w:cs="Arial"/>
          <w:sz w:val="22"/>
          <w:szCs w:val="22"/>
          <w:lang w:val="es-MX"/>
        </w:rPr>
      </w:pPr>
    </w:p>
    <w:p w:rsidR="00575CA9" w:rsidRPr="00646BCE" w:rsidRDefault="00575CA9" w:rsidP="00646BCE">
      <w:pPr>
        <w:spacing w:after="0" w:line="240" w:lineRule="auto"/>
        <w:jc w:val="both"/>
        <w:rPr>
          <w:rFonts w:ascii="Arial" w:hAnsi="Arial" w:cs="Arial"/>
          <w:sz w:val="22"/>
          <w:szCs w:val="22"/>
        </w:rPr>
      </w:pPr>
    </w:p>
    <w:p w:rsidR="00575CA9" w:rsidRPr="00575CA9" w:rsidRDefault="00575CA9" w:rsidP="00575CA9">
      <w:pPr>
        <w:pStyle w:val="Prrafodelista"/>
        <w:spacing w:after="0" w:line="240" w:lineRule="auto"/>
        <w:ind w:left="1800"/>
        <w:jc w:val="both"/>
        <w:rPr>
          <w:rFonts w:ascii="Arial" w:hAnsi="Arial" w:cs="Arial"/>
          <w:sz w:val="22"/>
          <w:szCs w:val="22"/>
        </w:rPr>
      </w:pPr>
    </w:p>
    <w:p w:rsidR="00BE7F71" w:rsidRDefault="00BE7F71" w:rsidP="00CD17B2">
      <w:pPr>
        <w:spacing w:line="276" w:lineRule="auto"/>
        <w:jc w:val="center"/>
        <w:rPr>
          <w:rFonts w:ascii="Arial" w:hAnsi="Arial" w:cs="Arial"/>
        </w:rPr>
      </w:pPr>
    </w:p>
    <w:p w:rsidR="00BE7F71" w:rsidRDefault="00BE7F71" w:rsidP="00CD17B2">
      <w:pPr>
        <w:spacing w:line="276" w:lineRule="auto"/>
        <w:jc w:val="center"/>
        <w:rPr>
          <w:rFonts w:ascii="Arial" w:hAnsi="Arial" w:cs="Arial"/>
        </w:rPr>
      </w:pPr>
    </w:p>
    <w:p w:rsidR="00BE7F71" w:rsidRPr="002E7030" w:rsidRDefault="007C4B31" w:rsidP="002E7030">
      <w:pPr>
        <w:pStyle w:val="Prrafodelista"/>
        <w:numPr>
          <w:ilvl w:val="0"/>
          <w:numId w:val="22"/>
        </w:numPr>
        <w:spacing w:line="276" w:lineRule="auto"/>
        <w:jc w:val="both"/>
        <w:rPr>
          <w:rFonts w:ascii="Arial" w:hAnsi="Arial" w:cs="Arial"/>
          <w:b/>
          <w:sz w:val="22"/>
          <w:szCs w:val="22"/>
        </w:rPr>
      </w:pPr>
      <w:r w:rsidRPr="002E7030">
        <w:rPr>
          <w:rFonts w:ascii="Arial" w:hAnsi="Arial" w:cs="Arial"/>
          <w:b/>
          <w:sz w:val="22"/>
          <w:szCs w:val="22"/>
        </w:rPr>
        <w:t>RESULTADOS DE LA GESTIÓN</w:t>
      </w:r>
    </w:p>
    <w:p w:rsidR="004F7CCD" w:rsidRDefault="004F7CCD" w:rsidP="00CD17B2">
      <w:pPr>
        <w:pStyle w:val="Prrafodelista"/>
        <w:spacing w:line="276" w:lineRule="auto"/>
        <w:jc w:val="both"/>
        <w:rPr>
          <w:rFonts w:ascii="Arial" w:hAnsi="Arial" w:cs="Arial"/>
          <w:b/>
          <w:sz w:val="22"/>
          <w:szCs w:val="22"/>
        </w:rPr>
      </w:pPr>
    </w:p>
    <w:p w:rsidR="00061448" w:rsidRDefault="00E7463C" w:rsidP="005347D1">
      <w:pPr>
        <w:spacing w:line="276" w:lineRule="auto"/>
        <w:jc w:val="both"/>
        <w:rPr>
          <w:rFonts w:ascii="Arial" w:hAnsi="Arial" w:cs="Arial"/>
          <w:sz w:val="22"/>
          <w:szCs w:val="22"/>
        </w:rPr>
      </w:pPr>
      <w:r w:rsidRPr="004F7CCD">
        <w:rPr>
          <w:rFonts w:ascii="Arial" w:hAnsi="Arial" w:cs="Arial"/>
          <w:sz w:val="22"/>
          <w:szCs w:val="22"/>
        </w:rPr>
        <w:t xml:space="preserve">Mediante </w:t>
      </w:r>
      <w:r w:rsidR="00A239E9">
        <w:rPr>
          <w:rFonts w:ascii="Arial" w:hAnsi="Arial" w:cs="Arial"/>
          <w:sz w:val="22"/>
          <w:szCs w:val="22"/>
        </w:rPr>
        <w:t>D</w:t>
      </w:r>
      <w:r w:rsidR="00981792">
        <w:rPr>
          <w:rFonts w:ascii="Arial" w:hAnsi="Arial" w:cs="Arial"/>
          <w:sz w:val="22"/>
          <w:szCs w:val="22"/>
        </w:rPr>
        <w:t>ecreto 8</w:t>
      </w:r>
      <w:r w:rsidR="00C5541E">
        <w:rPr>
          <w:rFonts w:ascii="Arial" w:hAnsi="Arial" w:cs="Arial"/>
          <w:sz w:val="22"/>
          <w:szCs w:val="22"/>
        </w:rPr>
        <w:t>26</w:t>
      </w:r>
      <w:r w:rsidR="00054655">
        <w:rPr>
          <w:rFonts w:ascii="Arial" w:hAnsi="Arial" w:cs="Arial"/>
          <w:sz w:val="22"/>
          <w:szCs w:val="22"/>
        </w:rPr>
        <w:t xml:space="preserve"> de </w:t>
      </w:r>
      <w:r w:rsidR="00981792">
        <w:rPr>
          <w:rFonts w:ascii="Arial" w:hAnsi="Arial" w:cs="Arial"/>
          <w:sz w:val="22"/>
          <w:szCs w:val="22"/>
        </w:rPr>
        <w:t>diciembre 2</w:t>
      </w:r>
      <w:r w:rsidR="00C5541E">
        <w:rPr>
          <w:rFonts w:ascii="Arial" w:hAnsi="Arial" w:cs="Arial"/>
          <w:sz w:val="22"/>
          <w:szCs w:val="22"/>
        </w:rPr>
        <w:t>7</w:t>
      </w:r>
      <w:r w:rsidR="00595D78">
        <w:rPr>
          <w:rFonts w:ascii="Arial" w:hAnsi="Arial" w:cs="Arial"/>
          <w:sz w:val="22"/>
          <w:szCs w:val="22"/>
        </w:rPr>
        <w:t xml:space="preserve"> </w:t>
      </w:r>
      <w:r w:rsidR="00981792">
        <w:rPr>
          <w:rFonts w:ascii="Arial" w:hAnsi="Arial" w:cs="Arial"/>
          <w:sz w:val="22"/>
          <w:szCs w:val="22"/>
        </w:rPr>
        <w:t>de 201</w:t>
      </w:r>
      <w:r w:rsidR="00C5541E">
        <w:rPr>
          <w:rFonts w:ascii="Arial" w:hAnsi="Arial" w:cs="Arial"/>
          <w:sz w:val="22"/>
          <w:szCs w:val="22"/>
        </w:rPr>
        <w:t>8</w:t>
      </w:r>
      <w:r w:rsidRPr="004F7CCD">
        <w:rPr>
          <w:rFonts w:ascii="Arial" w:hAnsi="Arial" w:cs="Arial"/>
          <w:sz w:val="22"/>
          <w:szCs w:val="22"/>
        </w:rPr>
        <w:t xml:space="preserve"> </w:t>
      </w:r>
      <w:r w:rsidRPr="006232B5">
        <w:rPr>
          <w:rFonts w:ascii="Arial" w:hAnsi="Arial" w:cs="Arial"/>
          <w:szCs w:val="22"/>
        </w:rPr>
        <w:t>"</w:t>
      </w:r>
      <w:r w:rsidR="00A239E9" w:rsidRPr="00A8420F">
        <w:rPr>
          <w:rFonts w:ascii="Arial" w:hAnsi="Arial" w:cs="Arial"/>
          <w:sz w:val="22"/>
          <w:szCs w:val="22"/>
        </w:rPr>
        <w:t>Por el cual se liquida el Presupuesto Anual de Rentas e Ingresos y de Gastos e Inversiones de Bogotá, Distrito Capital, para la vigencia fiscal compren</w:t>
      </w:r>
      <w:r w:rsidR="00595D78" w:rsidRPr="00A8420F">
        <w:rPr>
          <w:rFonts w:ascii="Arial" w:hAnsi="Arial" w:cs="Arial"/>
          <w:sz w:val="22"/>
          <w:szCs w:val="22"/>
        </w:rPr>
        <w:t>dida entre el 1 de enero y el 31 de diciembre</w:t>
      </w:r>
      <w:r w:rsidR="005F7B2F">
        <w:rPr>
          <w:rFonts w:ascii="Arial" w:hAnsi="Arial" w:cs="Arial"/>
          <w:sz w:val="22"/>
          <w:szCs w:val="22"/>
        </w:rPr>
        <w:t xml:space="preserve"> de 201</w:t>
      </w:r>
      <w:r w:rsidR="00646BCE">
        <w:rPr>
          <w:rFonts w:ascii="Arial" w:hAnsi="Arial" w:cs="Arial"/>
          <w:sz w:val="22"/>
          <w:szCs w:val="22"/>
        </w:rPr>
        <w:t>9</w:t>
      </w:r>
      <w:r w:rsidR="00A239E9" w:rsidRPr="00A8420F">
        <w:rPr>
          <w:rFonts w:ascii="Arial" w:hAnsi="Arial" w:cs="Arial"/>
          <w:sz w:val="22"/>
          <w:szCs w:val="22"/>
        </w:rPr>
        <w:t xml:space="preserve"> y se dictan otras disposicio</w:t>
      </w:r>
      <w:r w:rsidR="00054655" w:rsidRPr="00A8420F">
        <w:rPr>
          <w:rFonts w:ascii="Arial" w:hAnsi="Arial" w:cs="Arial"/>
          <w:sz w:val="22"/>
          <w:szCs w:val="22"/>
        </w:rPr>
        <w:t xml:space="preserve">nes, en </w:t>
      </w:r>
      <w:r w:rsidR="00981792">
        <w:rPr>
          <w:rFonts w:ascii="Arial" w:hAnsi="Arial" w:cs="Arial"/>
          <w:sz w:val="22"/>
          <w:szCs w:val="22"/>
        </w:rPr>
        <w:t>cumplimiento del Acuerdo  No.</w:t>
      </w:r>
      <w:r w:rsidR="00C5541E">
        <w:rPr>
          <w:rFonts w:ascii="Arial" w:hAnsi="Arial" w:cs="Arial"/>
          <w:sz w:val="22"/>
          <w:szCs w:val="22"/>
        </w:rPr>
        <w:t xml:space="preserve">728 </w:t>
      </w:r>
      <w:r w:rsidR="00981792">
        <w:rPr>
          <w:rFonts w:ascii="Arial" w:hAnsi="Arial" w:cs="Arial"/>
          <w:sz w:val="22"/>
          <w:szCs w:val="22"/>
        </w:rPr>
        <w:t>de diciembre 2</w:t>
      </w:r>
      <w:r w:rsidR="00C5541E">
        <w:rPr>
          <w:rFonts w:ascii="Arial" w:hAnsi="Arial" w:cs="Arial"/>
          <w:sz w:val="22"/>
          <w:szCs w:val="22"/>
        </w:rPr>
        <w:t xml:space="preserve">6 </w:t>
      </w:r>
      <w:r w:rsidR="00981792">
        <w:rPr>
          <w:rFonts w:ascii="Arial" w:hAnsi="Arial" w:cs="Arial"/>
          <w:sz w:val="22"/>
          <w:szCs w:val="22"/>
        </w:rPr>
        <w:t>de 201</w:t>
      </w:r>
      <w:r w:rsidR="00C5541E">
        <w:rPr>
          <w:rFonts w:ascii="Arial" w:hAnsi="Arial" w:cs="Arial"/>
          <w:sz w:val="22"/>
          <w:szCs w:val="22"/>
        </w:rPr>
        <w:t>8</w:t>
      </w:r>
      <w:r w:rsidR="00A239E9" w:rsidRPr="00A8420F">
        <w:rPr>
          <w:rFonts w:ascii="Arial" w:hAnsi="Arial" w:cs="Arial"/>
          <w:sz w:val="22"/>
          <w:szCs w:val="22"/>
        </w:rPr>
        <w:t xml:space="preserve"> e</w:t>
      </w:r>
      <w:r w:rsidR="00595D78" w:rsidRPr="00A8420F">
        <w:rPr>
          <w:rFonts w:ascii="Arial" w:hAnsi="Arial" w:cs="Arial"/>
          <w:sz w:val="22"/>
          <w:szCs w:val="22"/>
        </w:rPr>
        <w:t>xpedido por el Alcalde Mayor de Bogotá, Distrito Capital</w:t>
      </w:r>
      <w:r w:rsidRPr="00A8420F">
        <w:rPr>
          <w:rFonts w:ascii="Arial" w:hAnsi="Arial" w:cs="Arial"/>
          <w:sz w:val="22"/>
          <w:szCs w:val="22"/>
        </w:rPr>
        <w:t>"</w:t>
      </w:r>
      <w:r w:rsidR="00A239E9">
        <w:rPr>
          <w:rFonts w:ascii="Arial" w:hAnsi="Arial" w:cs="Arial"/>
          <w:sz w:val="22"/>
          <w:szCs w:val="22"/>
        </w:rPr>
        <w:t>, s</w:t>
      </w:r>
      <w:r w:rsidRPr="00A239E9">
        <w:rPr>
          <w:rFonts w:ascii="Arial" w:hAnsi="Arial" w:cs="Arial"/>
          <w:sz w:val="22"/>
          <w:szCs w:val="22"/>
        </w:rPr>
        <w:t xml:space="preserve">e </w:t>
      </w:r>
      <w:r w:rsidR="00C332FD">
        <w:rPr>
          <w:rFonts w:ascii="Arial" w:hAnsi="Arial" w:cs="Arial"/>
          <w:sz w:val="22"/>
          <w:szCs w:val="22"/>
        </w:rPr>
        <w:t>fijó el Presupuesto Anual de Gastos e Inversiones de l</w:t>
      </w:r>
      <w:r w:rsidR="00A239E9">
        <w:rPr>
          <w:rFonts w:ascii="Arial" w:hAnsi="Arial" w:cs="Arial"/>
          <w:sz w:val="22"/>
          <w:szCs w:val="22"/>
        </w:rPr>
        <w:t xml:space="preserve">a Contraloría de Bogotá </w:t>
      </w:r>
      <w:r w:rsidRPr="00A239E9">
        <w:rPr>
          <w:rFonts w:ascii="Arial" w:hAnsi="Arial" w:cs="Arial"/>
          <w:sz w:val="22"/>
          <w:szCs w:val="22"/>
        </w:rPr>
        <w:t>para la vigencia fiscal</w:t>
      </w:r>
      <w:r w:rsidR="00350E41" w:rsidRPr="00A239E9">
        <w:rPr>
          <w:rFonts w:ascii="Arial" w:hAnsi="Arial" w:cs="Arial"/>
          <w:sz w:val="22"/>
          <w:szCs w:val="22"/>
        </w:rPr>
        <w:t xml:space="preserve"> 20</w:t>
      </w:r>
      <w:r w:rsidR="005F7B2F">
        <w:rPr>
          <w:rFonts w:ascii="Arial" w:hAnsi="Arial" w:cs="Arial"/>
          <w:sz w:val="22"/>
          <w:szCs w:val="22"/>
        </w:rPr>
        <w:t>1</w:t>
      </w:r>
      <w:r w:rsidR="00646BCE">
        <w:rPr>
          <w:rFonts w:ascii="Arial" w:hAnsi="Arial" w:cs="Arial"/>
          <w:sz w:val="22"/>
          <w:szCs w:val="22"/>
        </w:rPr>
        <w:t>9</w:t>
      </w:r>
      <w:r w:rsidR="006232B5">
        <w:rPr>
          <w:rFonts w:ascii="Arial" w:hAnsi="Arial" w:cs="Arial"/>
          <w:sz w:val="22"/>
          <w:szCs w:val="22"/>
        </w:rPr>
        <w:t xml:space="preserve">. Para la Unidad Ejecutora </w:t>
      </w:r>
      <w:r w:rsidR="005347D1">
        <w:rPr>
          <w:rFonts w:ascii="Arial" w:hAnsi="Arial" w:cs="Arial"/>
          <w:sz w:val="22"/>
          <w:szCs w:val="22"/>
        </w:rPr>
        <w:t>0</w:t>
      </w:r>
      <w:r w:rsidR="006232B5">
        <w:rPr>
          <w:rFonts w:ascii="Arial" w:hAnsi="Arial" w:cs="Arial"/>
          <w:sz w:val="22"/>
          <w:szCs w:val="22"/>
        </w:rPr>
        <w:t xml:space="preserve">1 </w:t>
      </w:r>
      <w:r w:rsidR="008C3361" w:rsidRPr="00417562">
        <w:rPr>
          <w:rFonts w:ascii="Arial" w:hAnsi="Arial" w:cs="Arial"/>
          <w:sz w:val="22"/>
          <w:szCs w:val="22"/>
        </w:rPr>
        <w:t xml:space="preserve">ciento sesenta y seis mil novecientos sesenta millones doscientos cincuenta </w:t>
      </w:r>
      <w:r w:rsidR="008C3361" w:rsidRPr="00417562">
        <w:rPr>
          <w:rFonts w:ascii="Arial" w:hAnsi="Arial" w:cs="Arial"/>
          <w:sz w:val="22"/>
          <w:szCs w:val="22"/>
        </w:rPr>
        <w:lastRenderedPageBreak/>
        <w:t>y cinco mil quinientos noventa y cuatro</w:t>
      </w:r>
      <w:r w:rsidR="008C3361">
        <w:rPr>
          <w:rFonts w:ascii="Verdana" w:hAnsi="Verdana"/>
          <w:color w:val="333333"/>
          <w:sz w:val="27"/>
          <w:szCs w:val="27"/>
          <w:shd w:val="clear" w:color="auto" w:fill="FFFFFF"/>
        </w:rPr>
        <w:t xml:space="preserve"> </w:t>
      </w:r>
      <w:r w:rsidR="008C3361" w:rsidRPr="00417562">
        <w:rPr>
          <w:rFonts w:ascii="Arial" w:hAnsi="Arial" w:cs="Arial"/>
          <w:sz w:val="22"/>
          <w:szCs w:val="22"/>
        </w:rPr>
        <w:t>p</w:t>
      </w:r>
      <w:r w:rsidR="00ED48C6">
        <w:rPr>
          <w:rFonts w:ascii="Arial" w:hAnsi="Arial" w:cs="Arial"/>
          <w:sz w:val="22"/>
          <w:szCs w:val="22"/>
        </w:rPr>
        <w:t>esos M/Cte. (</w:t>
      </w:r>
      <w:r w:rsidR="001463D0">
        <w:rPr>
          <w:rFonts w:ascii="Arial" w:hAnsi="Arial" w:cs="Arial"/>
          <w:sz w:val="22"/>
          <w:szCs w:val="22"/>
        </w:rPr>
        <w:t>$1</w:t>
      </w:r>
      <w:r w:rsidR="00D93AC0">
        <w:rPr>
          <w:rFonts w:ascii="Arial" w:hAnsi="Arial" w:cs="Arial"/>
          <w:sz w:val="22"/>
          <w:szCs w:val="22"/>
        </w:rPr>
        <w:t>66.960.255.594</w:t>
      </w:r>
      <w:r w:rsidR="00ED48C6">
        <w:rPr>
          <w:rFonts w:ascii="Arial" w:hAnsi="Arial" w:cs="Arial"/>
          <w:sz w:val="22"/>
          <w:szCs w:val="22"/>
        </w:rPr>
        <w:t>)</w:t>
      </w:r>
      <w:r w:rsidR="006232B5">
        <w:rPr>
          <w:rFonts w:ascii="Arial" w:hAnsi="Arial" w:cs="Arial"/>
          <w:sz w:val="22"/>
          <w:szCs w:val="22"/>
        </w:rPr>
        <w:t xml:space="preserve"> y para la Unidad Ejecutora </w:t>
      </w:r>
      <w:r w:rsidR="005347D1">
        <w:rPr>
          <w:rFonts w:ascii="Arial" w:hAnsi="Arial" w:cs="Arial"/>
          <w:sz w:val="22"/>
          <w:szCs w:val="22"/>
        </w:rPr>
        <w:t>0</w:t>
      </w:r>
      <w:r w:rsidR="006232B5">
        <w:rPr>
          <w:rFonts w:ascii="Arial" w:hAnsi="Arial" w:cs="Arial"/>
          <w:sz w:val="22"/>
          <w:szCs w:val="22"/>
        </w:rPr>
        <w:t xml:space="preserve">2 </w:t>
      </w:r>
      <w:r w:rsidR="008C3361" w:rsidRPr="008C3361">
        <w:rPr>
          <w:rFonts w:ascii="Arial" w:hAnsi="Arial" w:cs="Arial"/>
          <w:sz w:val="22"/>
          <w:szCs w:val="22"/>
        </w:rPr>
        <w:t>cuatrocientos cincuenta y seis millones ciento veintisiete mil</w:t>
      </w:r>
      <w:r w:rsidR="008C3361" w:rsidRPr="008C3361">
        <w:rPr>
          <w:rFonts w:ascii="Arial" w:hAnsi="Arial" w:cs="Arial"/>
          <w:sz w:val="22"/>
          <w:szCs w:val="22"/>
        </w:rPr>
        <w:t xml:space="preserve"> </w:t>
      </w:r>
      <w:r w:rsidR="008C3361">
        <w:rPr>
          <w:rFonts w:ascii="Arial" w:hAnsi="Arial" w:cs="Arial"/>
          <w:sz w:val="22"/>
          <w:szCs w:val="22"/>
        </w:rPr>
        <w:t>p</w:t>
      </w:r>
      <w:r w:rsidR="00ED48C6">
        <w:rPr>
          <w:rFonts w:ascii="Arial" w:hAnsi="Arial" w:cs="Arial"/>
          <w:sz w:val="22"/>
          <w:szCs w:val="22"/>
        </w:rPr>
        <w:t>esos M/Cte. (</w:t>
      </w:r>
      <w:r w:rsidR="001463D0">
        <w:rPr>
          <w:rFonts w:ascii="Arial" w:hAnsi="Arial" w:cs="Arial"/>
          <w:sz w:val="22"/>
          <w:szCs w:val="22"/>
        </w:rPr>
        <w:t>$</w:t>
      </w:r>
      <w:r w:rsidR="004F5FC0">
        <w:rPr>
          <w:rFonts w:ascii="Arial" w:hAnsi="Arial" w:cs="Arial"/>
          <w:sz w:val="22"/>
          <w:szCs w:val="22"/>
        </w:rPr>
        <w:t>456.127.000</w:t>
      </w:r>
      <w:r w:rsidR="00ED48C6">
        <w:rPr>
          <w:rFonts w:ascii="Arial" w:hAnsi="Arial" w:cs="Arial"/>
          <w:sz w:val="22"/>
          <w:szCs w:val="22"/>
        </w:rPr>
        <w:t>)</w:t>
      </w:r>
      <w:r w:rsidR="006232B5">
        <w:rPr>
          <w:rFonts w:ascii="Arial" w:hAnsi="Arial" w:cs="Arial"/>
          <w:sz w:val="22"/>
          <w:szCs w:val="22"/>
        </w:rPr>
        <w:t xml:space="preserve">, para un total de </w:t>
      </w:r>
      <w:r w:rsidR="008C3361" w:rsidRPr="008C3361">
        <w:rPr>
          <w:rFonts w:ascii="Arial" w:hAnsi="Arial" w:cs="Arial"/>
          <w:sz w:val="22"/>
          <w:szCs w:val="22"/>
        </w:rPr>
        <w:t>ciento sesenta y siete mil cuatrocientos dieciséis millones trescientos ochenta y dos mil quinientos noventa y cuatro</w:t>
      </w:r>
      <w:r w:rsidR="008C3361" w:rsidRPr="008C3361">
        <w:rPr>
          <w:rFonts w:ascii="Arial" w:hAnsi="Arial" w:cs="Arial"/>
          <w:sz w:val="22"/>
          <w:szCs w:val="22"/>
        </w:rPr>
        <w:t xml:space="preserve"> pesos </w:t>
      </w:r>
      <w:r w:rsidR="00ED48C6">
        <w:rPr>
          <w:rFonts w:ascii="Arial" w:hAnsi="Arial" w:cs="Arial"/>
          <w:sz w:val="22"/>
          <w:szCs w:val="22"/>
        </w:rPr>
        <w:t>M/Cte. (</w:t>
      </w:r>
      <w:r w:rsidR="00BC12F9">
        <w:rPr>
          <w:rFonts w:ascii="Arial" w:hAnsi="Arial" w:cs="Arial"/>
          <w:sz w:val="22"/>
          <w:szCs w:val="22"/>
        </w:rPr>
        <w:t>$</w:t>
      </w:r>
      <w:r w:rsidR="004F5FC0">
        <w:rPr>
          <w:rFonts w:ascii="Arial" w:hAnsi="Arial" w:cs="Arial"/>
          <w:sz w:val="22"/>
          <w:szCs w:val="22"/>
        </w:rPr>
        <w:t>167.416.382.594</w:t>
      </w:r>
      <w:r w:rsidR="00ED48C6">
        <w:rPr>
          <w:rFonts w:ascii="Arial" w:hAnsi="Arial" w:cs="Arial"/>
          <w:sz w:val="22"/>
          <w:szCs w:val="22"/>
        </w:rPr>
        <w:t>)</w:t>
      </w:r>
      <w:r w:rsidR="006232B5">
        <w:rPr>
          <w:rFonts w:ascii="Arial" w:hAnsi="Arial" w:cs="Arial"/>
          <w:sz w:val="22"/>
          <w:szCs w:val="22"/>
        </w:rPr>
        <w:t>.</w:t>
      </w:r>
    </w:p>
    <w:p w:rsidR="00BB7E3F" w:rsidRDefault="00BB7E3F" w:rsidP="005347D1">
      <w:pPr>
        <w:spacing w:line="276" w:lineRule="auto"/>
        <w:jc w:val="both"/>
        <w:rPr>
          <w:rFonts w:ascii="Arial" w:hAnsi="Arial" w:cs="Arial"/>
          <w:sz w:val="22"/>
          <w:szCs w:val="22"/>
        </w:rPr>
      </w:pPr>
    </w:p>
    <w:p w:rsidR="00FF6998" w:rsidRDefault="00FF6998" w:rsidP="00FF6998">
      <w:pPr>
        <w:pStyle w:val="CUERPO1"/>
        <w:spacing w:after="0" w:line="276" w:lineRule="auto"/>
        <w:rPr>
          <w:color w:val="000000" w:themeColor="text1"/>
          <w:sz w:val="22"/>
          <w:szCs w:val="22"/>
        </w:rPr>
      </w:pPr>
      <w:r>
        <w:rPr>
          <w:sz w:val="22"/>
          <w:szCs w:val="22"/>
        </w:rPr>
        <w:t>El</w:t>
      </w:r>
      <w:r w:rsidRPr="004F7CCD">
        <w:rPr>
          <w:sz w:val="22"/>
          <w:szCs w:val="22"/>
        </w:rPr>
        <w:t xml:space="preserve"> presupuesto es</w:t>
      </w:r>
      <w:r>
        <w:rPr>
          <w:sz w:val="22"/>
          <w:szCs w:val="22"/>
        </w:rPr>
        <w:t>tá</w:t>
      </w:r>
      <w:r w:rsidRPr="004F7CCD">
        <w:rPr>
          <w:sz w:val="22"/>
          <w:szCs w:val="22"/>
        </w:rPr>
        <w:t xml:space="preserve"> distribuido en las dos unidades ejecutoras de la Entidad </w:t>
      </w:r>
      <w:r w:rsidRPr="00CB33D5">
        <w:rPr>
          <w:sz w:val="22"/>
          <w:szCs w:val="22"/>
        </w:rPr>
        <w:t xml:space="preserve">en cumplimiento al Acuerdo </w:t>
      </w:r>
      <w:r w:rsidR="00C5541E">
        <w:rPr>
          <w:sz w:val="22"/>
          <w:szCs w:val="22"/>
        </w:rPr>
        <w:t>728</w:t>
      </w:r>
      <w:r w:rsidRPr="00CB33D5">
        <w:rPr>
          <w:sz w:val="22"/>
          <w:szCs w:val="22"/>
        </w:rPr>
        <w:t xml:space="preserve"> </w:t>
      </w:r>
      <w:r>
        <w:rPr>
          <w:sz w:val="22"/>
          <w:szCs w:val="22"/>
        </w:rPr>
        <w:t>de diciembre 2</w:t>
      </w:r>
      <w:r w:rsidR="00C5541E">
        <w:rPr>
          <w:sz w:val="22"/>
          <w:szCs w:val="22"/>
        </w:rPr>
        <w:t>6</w:t>
      </w:r>
      <w:r>
        <w:rPr>
          <w:sz w:val="22"/>
          <w:szCs w:val="22"/>
        </w:rPr>
        <w:t xml:space="preserve"> de 201</w:t>
      </w:r>
      <w:r w:rsidR="00C5541E">
        <w:rPr>
          <w:sz w:val="22"/>
          <w:szCs w:val="22"/>
        </w:rPr>
        <w:t>8</w:t>
      </w:r>
      <w:r w:rsidRPr="004F7CCD">
        <w:rPr>
          <w:sz w:val="22"/>
          <w:szCs w:val="22"/>
        </w:rPr>
        <w:t xml:space="preserve"> </w:t>
      </w:r>
      <w:r w:rsidRPr="00CB33D5">
        <w:rPr>
          <w:sz w:val="22"/>
          <w:szCs w:val="22"/>
        </w:rPr>
        <w:t>del Concejo de Bogotá</w:t>
      </w:r>
      <w:r w:rsidRPr="00C47020">
        <w:rPr>
          <w:color w:val="000000" w:themeColor="text1"/>
          <w:sz w:val="22"/>
          <w:szCs w:val="22"/>
        </w:rPr>
        <w:t xml:space="preserve">, D.C.,  </w:t>
      </w:r>
      <w:r>
        <w:rPr>
          <w:sz w:val="22"/>
          <w:szCs w:val="22"/>
        </w:rPr>
        <w:t xml:space="preserve">la </w:t>
      </w:r>
      <w:r w:rsidRPr="004F7CCD">
        <w:rPr>
          <w:sz w:val="22"/>
          <w:szCs w:val="22"/>
        </w:rPr>
        <w:t xml:space="preserve">Unidad </w:t>
      </w:r>
      <w:r>
        <w:rPr>
          <w:sz w:val="22"/>
          <w:szCs w:val="22"/>
        </w:rPr>
        <w:t>E</w:t>
      </w:r>
      <w:r w:rsidRPr="004F7CCD">
        <w:rPr>
          <w:sz w:val="22"/>
          <w:szCs w:val="22"/>
        </w:rPr>
        <w:t xml:space="preserve">jecutora </w:t>
      </w:r>
      <w:r>
        <w:rPr>
          <w:sz w:val="22"/>
          <w:szCs w:val="22"/>
        </w:rPr>
        <w:t>01</w:t>
      </w:r>
      <w:r w:rsidRPr="004F7CCD">
        <w:rPr>
          <w:sz w:val="22"/>
          <w:szCs w:val="22"/>
        </w:rPr>
        <w:t xml:space="preserve"> - </w:t>
      </w:r>
      <w:r w:rsidRPr="00CB33D5">
        <w:rPr>
          <w:sz w:val="22"/>
          <w:szCs w:val="22"/>
        </w:rPr>
        <w:t xml:space="preserve">Contraloría de Bogotá </w:t>
      </w:r>
      <w:r>
        <w:rPr>
          <w:sz w:val="22"/>
          <w:szCs w:val="22"/>
        </w:rPr>
        <w:t xml:space="preserve">D.C. </w:t>
      </w:r>
      <w:r w:rsidRPr="00CB33D5">
        <w:rPr>
          <w:sz w:val="22"/>
          <w:szCs w:val="22"/>
        </w:rPr>
        <w:t>y Unidad Ejecutora 02 - Auditoria Fiscal ante la Contraloría de Bogotá</w:t>
      </w:r>
      <w:r>
        <w:rPr>
          <w:sz w:val="22"/>
          <w:szCs w:val="22"/>
        </w:rPr>
        <w:t xml:space="preserve"> D.C.</w:t>
      </w:r>
      <w:r w:rsidRPr="00383CC3">
        <w:rPr>
          <w:sz w:val="22"/>
          <w:szCs w:val="22"/>
        </w:rPr>
        <w:t>, a la Unidad No 2 le fueron asignados rubros de gastos generales, por cuanto los gastos de servicios asociados a la</w:t>
      </w:r>
      <w:r w:rsidR="008C3361">
        <w:rPr>
          <w:sz w:val="22"/>
          <w:szCs w:val="22"/>
        </w:rPr>
        <w:t xml:space="preserve"> </w:t>
      </w:r>
      <w:r w:rsidRPr="00383CC3">
        <w:rPr>
          <w:sz w:val="22"/>
          <w:szCs w:val="22"/>
        </w:rPr>
        <w:t xml:space="preserve">nómina y parafiscales de la planta de personal de la Auditoria Fiscal son atendidos a través de la Unidad Ejecutora No 1. </w:t>
      </w:r>
      <w:r w:rsidRPr="00C47020">
        <w:rPr>
          <w:color w:val="000000" w:themeColor="text1"/>
          <w:sz w:val="22"/>
          <w:szCs w:val="22"/>
        </w:rPr>
        <w:t>Tal como se relaciona en el siguiente cuadro:</w:t>
      </w:r>
    </w:p>
    <w:p w:rsidR="00FF6998" w:rsidRPr="005B4CF4" w:rsidRDefault="00FF6998" w:rsidP="00FF6998">
      <w:pPr>
        <w:pStyle w:val="CUERPO1"/>
        <w:spacing w:after="0" w:line="276" w:lineRule="auto"/>
        <w:rPr>
          <w:sz w:val="22"/>
          <w:szCs w:val="22"/>
        </w:rPr>
      </w:pPr>
    </w:p>
    <w:p w:rsidR="00FF6998" w:rsidRPr="007266E5" w:rsidRDefault="00FF6998" w:rsidP="00FF6998">
      <w:pPr>
        <w:pStyle w:val="CUERPO1"/>
        <w:spacing w:after="0" w:line="276" w:lineRule="auto"/>
        <w:jc w:val="center"/>
        <w:rPr>
          <w:b/>
          <w:sz w:val="18"/>
          <w:szCs w:val="18"/>
          <w:lang w:val="es-MX"/>
        </w:rPr>
      </w:pPr>
      <w:r>
        <w:rPr>
          <w:b/>
          <w:sz w:val="18"/>
          <w:szCs w:val="18"/>
          <w:lang w:val="es-MX"/>
        </w:rPr>
        <w:t>CUADRO 1</w:t>
      </w:r>
    </w:p>
    <w:p w:rsidR="00FF6998" w:rsidRPr="007266E5" w:rsidRDefault="00FF6998" w:rsidP="00FF6998">
      <w:pPr>
        <w:pStyle w:val="CUERPO1"/>
        <w:spacing w:after="0" w:line="276" w:lineRule="auto"/>
        <w:jc w:val="center"/>
        <w:rPr>
          <w:b/>
          <w:sz w:val="18"/>
          <w:szCs w:val="18"/>
          <w:lang w:val="es-MX"/>
        </w:rPr>
      </w:pPr>
      <w:r w:rsidRPr="007266E5">
        <w:rPr>
          <w:b/>
          <w:sz w:val="18"/>
          <w:szCs w:val="18"/>
          <w:lang w:val="es-MX"/>
        </w:rPr>
        <w:t>DISTRIBUCIÓN DE PRESUPUESTO EN UNIDADES 01 Y 02</w:t>
      </w:r>
    </w:p>
    <w:tbl>
      <w:tblPr>
        <w:tblW w:w="7787" w:type="dxa"/>
        <w:jc w:val="center"/>
        <w:tblCellMar>
          <w:left w:w="70" w:type="dxa"/>
          <w:right w:w="70" w:type="dxa"/>
        </w:tblCellMar>
        <w:tblLook w:val="04A0" w:firstRow="1" w:lastRow="0" w:firstColumn="1" w:lastColumn="0" w:noHBand="0" w:noVBand="1"/>
      </w:tblPr>
      <w:tblGrid>
        <w:gridCol w:w="2542"/>
        <w:gridCol w:w="2551"/>
        <w:gridCol w:w="2694"/>
      </w:tblGrid>
      <w:tr w:rsidR="00FF6998" w:rsidRPr="007266E5" w:rsidTr="00B0742A">
        <w:trPr>
          <w:trHeight w:val="480"/>
          <w:jc w:val="center"/>
        </w:trPr>
        <w:tc>
          <w:tcPr>
            <w:tcW w:w="2542" w:type="dxa"/>
            <w:tcBorders>
              <w:top w:val="nil"/>
              <w:left w:val="single" w:sz="8" w:space="0" w:color="FFFFFF"/>
              <w:bottom w:val="nil"/>
              <w:right w:val="single" w:sz="8" w:space="0" w:color="FFFFFF"/>
            </w:tcBorders>
            <w:shd w:val="clear" w:color="000000" w:fill="4472C4"/>
            <w:noWrap/>
            <w:vAlign w:val="center"/>
            <w:hideMark/>
          </w:tcPr>
          <w:p w:rsidR="00FF6998" w:rsidRPr="007266E5" w:rsidRDefault="00FF6998" w:rsidP="00B0742A">
            <w:pPr>
              <w:spacing w:after="0" w:line="240" w:lineRule="auto"/>
              <w:rPr>
                <w:b/>
                <w:bCs/>
                <w:color w:val="FFFFFF"/>
                <w:sz w:val="18"/>
                <w:szCs w:val="18"/>
              </w:rPr>
            </w:pPr>
            <w:r w:rsidRPr="007266E5">
              <w:rPr>
                <w:b/>
                <w:bCs/>
                <w:color w:val="FFFFFF"/>
                <w:sz w:val="18"/>
                <w:szCs w:val="18"/>
              </w:rPr>
              <w:t>UNIDAD</w:t>
            </w:r>
          </w:p>
        </w:tc>
        <w:tc>
          <w:tcPr>
            <w:tcW w:w="2551" w:type="dxa"/>
            <w:tcBorders>
              <w:top w:val="nil"/>
              <w:left w:val="nil"/>
              <w:bottom w:val="nil"/>
              <w:right w:val="single" w:sz="8" w:space="0" w:color="FFFFFF"/>
            </w:tcBorders>
            <w:shd w:val="clear" w:color="000000" w:fill="4472C4"/>
            <w:vAlign w:val="center"/>
            <w:hideMark/>
          </w:tcPr>
          <w:p w:rsidR="00FF6998" w:rsidRPr="007266E5" w:rsidRDefault="00FF6998" w:rsidP="00B0742A">
            <w:pPr>
              <w:spacing w:after="0" w:line="240" w:lineRule="auto"/>
              <w:jc w:val="center"/>
              <w:rPr>
                <w:b/>
                <w:bCs/>
                <w:color w:val="FFFFFF"/>
                <w:sz w:val="18"/>
                <w:szCs w:val="18"/>
              </w:rPr>
            </w:pPr>
            <w:r w:rsidRPr="007266E5">
              <w:rPr>
                <w:b/>
                <w:bCs/>
                <w:color w:val="FFFFFF"/>
                <w:sz w:val="18"/>
                <w:szCs w:val="18"/>
              </w:rPr>
              <w:t>PRESUPUESTO ASIGNADO</w:t>
            </w:r>
          </w:p>
        </w:tc>
        <w:tc>
          <w:tcPr>
            <w:tcW w:w="2694" w:type="dxa"/>
            <w:tcBorders>
              <w:top w:val="nil"/>
              <w:left w:val="nil"/>
              <w:bottom w:val="nil"/>
              <w:right w:val="single" w:sz="8" w:space="0" w:color="FFFFFF"/>
            </w:tcBorders>
            <w:shd w:val="clear" w:color="000000" w:fill="4472C4"/>
            <w:vAlign w:val="center"/>
            <w:hideMark/>
          </w:tcPr>
          <w:p w:rsidR="00FF6998" w:rsidRPr="007266E5" w:rsidRDefault="00FF6998" w:rsidP="00B0742A">
            <w:pPr>
              <w:spacing w:after="0" w:line="240" w:lineRule="auto"/>
              <w:jc w:val="center"/>
              <w:rPr>
                <w:b/>
                <w:bCs/>
                <w:color w:val="FFFFFF"/>
                <w:sz w:val="18"/>
                <w:szCs w:val="18"/>
              </w:rPr>
            </w:pPr>
            <w:r w:rsidRPr="007266E5">
              <w:rPr>
                <w:b/>
                <w:bCs/>
                <w:color w:val="FFFFFF"/>
                <w:sz w:val="18"/>
                <w:szCs w:val="18"/>
              </w:rPr>
              <w:t>PORCENTAJEPARTICIPACIÓN</w:t>
            </w:r>
          </w:p>
        </w:tc>
      </w:tr>
      <w:tr w:rsidR="00FF6998" w:rsidRPr="007266E5" w:rsidTr="00B0742A">
        <w:trPr>
          <w:trHeight w:val="315"/>
          <w:jc w:val="center"/>
        </w:trPr>
        <w:tc>
          <w:tcPr>
            <w:tcW w:w="2542" w:type="dxa"/>
            <w:tcBorders>
              <w:top w:val="single" w:sz="12" w:space="0" w:color="FFFFFF"/>
              <w:left w:val="single" w:sz="8" w:space="0" w:color="FFFFFF"/>
              <w:bottom w:val="nil"/>
              <w:right w:val="single" w:sz="8" w:space="0" w:color="FFFFFF"/>
            </w:tcBorders>
            <w:shd w:val="clear" w:color="000000" w:fill="B4C6E7"/>
            <w:noWrap/>
            <w:vAlign w:val="center"/>
            <w:hideMark/>
          </w:tcPr>
          <w:p w:rsidR="00FF6998" w:rsidRPr="007266E5" w:rsidRDefault="00FF6998" w:rsidP="00B0742A">
            <w:pPr>
              <w:spacing w:after="0" w:line="240" w:lineRule="auto"/>
              <w:rPr>
                <w:color w:val="000000"/>
                <w:sz w:val="18"/>
                <w:szCs w:val="18"/>
              </w:rPr>
            </w:pPr>
            <w:r w:rsidRPr="007266E5">
              <w:rPr>
                <w:color w:val="000000"/>
                <w:sz w:val="18"/>
                <w:szCs w:val="18"/>
              </w:rPr>
              <w:t>UNIDAD 01</w:t>
            </w:r>
          </w:p>
        </w:tc>
        <w:tc>
          <w:tcPr>
            <w:tcW w:w="2551" w:type="dxa"/>
            <w:tcBorders>
              <w:top w:val="single" w:sz="12" w:space="0" w:color="FFFFFF"/>
              <w:left w:val="nil"/>
              <w:bottom w:val="nil"/>
              <w:right w:val="single" w:sz="8" w:space="0" w:color="FFFFFF"/>
            </w:tcBorders>
            <w:shd w:val="clear" w:color="000000" w:fill="B4C6E7"/>
            <w:noWrap/>
            <w:vAlign w:val="bottom"/>
            <w:hideMark/>
          </w:tcPr>
          <w:p w:rsidR="00FF6998" w:rsidRPr="007266E5" w:rsidRDefault="00FF6998" w:rsidP="00B0742A">
            <w:pPr>
              <w:spacing w:after="0" w:line="240" w:lineRule="auto"/>
              <w:rPr>
                <w:color w:val="000000"/>
                <w:sz w:val="18"/>
                <w:szCs w:val="18"/>
              </w:rPr>
            </w:pPr>
            <w:r>
              <w:rPr>
                <w:color w:val="000000"/>
                <w:sz w:val="18"/>
                <w:szCs w:val="18"/>
              </w:rPr>
              <w:t xml:space="preserve"> $        1</w:t>
            </w:r>
            <w:r w:rsidR="00D93AC0">
              <w:rPr>
                <w:color w:val="000000"/>
                <w:sz w:val="18"/>
                <w:szCs w:val="18"/>
              </w:rPr>
              <w:t>66.960.255.594</w:t>
            </w:r>
          </w:p>
        </w:tc>
        <w:tc>
          <w:tcPr>
            <w:tcW w:w="2694" w:type="dxa"/>
            <w:tcBorders>
              <w:top w:val="nil"/>
              <w:left w:val="nil"/>
              <w:bottom w:val="nil"/>
              <w:right w:val="single" w:sz="8" w:space="0" w:color="FFFFFF"/>
            </w:tcBorders>
            <w:shd w:val="clear" w:color="000000" w:fill="B4C6E7"/>
            <w:noWrap/>
            <w:vAlign w:val="center"/>
            <w:hideMark/>
          </w:tcPr>
          <w:p w:rsidR="00FF6998" w:rsidRPr="007266E5" w:rsidRDefault="00FF6998" w:rsidP="00B0742A">
            <w:pPr>
              <w:spacing w:after="0" w:line="240" w:lineRule="auto"/>
              <w:jc w:val="right"/>
              <w:rPr>
                <w:color w:val="000000"/>
                <w:sz w:val="18"/>
                <w:szCs w:val="18"/>
              </w:rPr>
            </w:pPr>
            <w:r>
              <w:rPr>
                <w:color w:val="000000"/>
                <w:sz w:val="18"/>
                <w:szCs w:val="18"/>
              </w:rPr>
              <w:t>99,76</w:t>
            </w:r>
            <w:r w:rsidRPr="007266E5">
              <w:rPr>
                <w:color w:val="000000"/>
                <w:sz w:val="18"/>
                <w:szCs w:val="18"/>
              </w:rPr>
              <w:t>%</w:t>
            </w:r>
          </w:p>
        </w:tc>
      </w:tr>
      <w:tr w:rsidR="00FF6998" w:rsidRPr="007266E5" w:rsidTr="00B0742A">
        <w:trPr>
          <w:trHeight w:val="315"/>
          <w:jc w:val="center"/>
        </w:trPr>
        <w:tc>
          <w:tcPr>
            <w:tcW w:w="2542" w:type="dxa"/>
            <w:tcBorders>
              <w:top w:val="nil"/>
              <w:left w:val="nil"/>
              <w:bottom w:val="single" w:sz="8" w:space="0" w:color="FFFFFF"/>
              <w:right w:val="single" w:sz="8" w:space="0" w:color="FFFFFF"/>
            </w:tcBorders>
            <w:shd w:val="clear" w:color="000000" w:fill="D9E1F2"/>
            <w:noWrap/>
            <w:vAlign w:val="center"/>
            <w:hideMark/>
          </w:tcPr>
          <w:p w:rsidR="00FF6998" w:rsidRPr="007266E5" w:rsidRDefault="00FF6998" w:rsidP="00B0742A">
            <w:pPr>
              <w:spacing w:after="0" w:line="240" w:lineRule="auto"/>
              <w:rPr>
                <w:color w:val="000000"/>
                <w:sz w:val="18"/>
                <w:szCs w:val="18"/>
              </w:rPr>
            </w:pPr>
            <w:r w:rsidRPr="007266E5">
              <w:rPr>
                <w:color w:val="000000"/>
                <w:sz w:val="18"/>
                <w:szCs w:val="18"/>
              </w:rPr>
              <w:t>UNIDAD 02</w:t>
            </w:r>
          </w:p>
        </w:tc>
        <w:tc>
          <w:tcPr>
            <w:tcW w:w="2551" w:type="dxa"/>
            <w:tcBorders>
              <w:top w:val="nil"/>
              <w:left w:val="nil"/>
              <w:bottom w:val="single" w:sz="8" w:space="0" w:color="FFFFFF"/>
              <w:right w:val="single" w:sz="8" w:space="0" w:color="FFFFFF"/>
            </w:tcBorders>
            <w:shd w:val="clear" w:color="000000" w:fill="D9E1F2"/>
            <w:noWrap/>
            <w:vAlign w:val="bottom"/>
            <w:hideMark/>
          </w:tcPr>
          <w:p w:rsidR="00FF6998" w:rsidRPr="007266E5" w:rsidRDefault="00FF6998" w:rsidP="00B0742A">
            <w:pPr>
              <w:spacing w:after="0" w:line="240" w:lineRule="auto"/>
              <w:rPr>
                <w:color w:val="000000"/>
                <w:sz w:val="18"/>
                <w:szCs w:val="18"/>
              </w:rPr>
            </w:pPr>
            <w:r>
              <w:rPr>
                <w:color w:val="000000"/>
                <w:sz w:val="18"/>
                <w:szCs w:val="18"/>
              </w:rPr>
              <w:t xml:space="preserve"> $               </w:t>
            </w:r>
            <w:r w:rsidR="004F5FC0">
              <w:rPr>
                <w:color w:val="000000"/>
                <w:sz w:val="18"/>
                <w:szCs w:val="18"/>
              </w:rPr>
              <w:t>456.127.000</w:t>
            </w:r>
          </w:p>
        </w:tc>
        <w:tc>
          <w:tcPr>
            <w:tcW w:w="2694" w:type="dxa"/>
            <w:tcBorders>
              <w:top w:val="nil"/>
              <w:left w:val="nil"/>
              <w:bottom w:val="single" w:sz="8" w:space="0" w:color="FFFFFF"/>
              <w:right w:val="single" w:sz="8" w:space="0" w:color="FFFFFF"/>
            </w:tcBorders>
            <w:shd w:val="clear" w:color="000000" w:fill="D9E1F2"/>
            <w:noWrap/>
            <w:vAlign w:val="bottom"/>
            <w:hideMark/>
          </w:tcPr>
          <w:p w:rsidR="00FF6998" w:rsidRPr="007266E5" w:rsidRDefault="00FF6998" w:rsidP="00B0742A">
            <w:pPr>
              <w:spacing w:after="0" w:line="240" w:lineRule="auto"/>
              <w:jc w:val="right"/>
              <w:rPr>
                <w:color w:val="000000"/>
                <w:sz w:val="18"/>
                <w:szCs w:val="18"/>
              </w:rPr>
            </w:pPr>
            <w:r>
              <w:rPr>
                <w:color w:val="000000"/>
                <w:sz w:val="18"/>
                <w:szCs w:val="18"/>
              </w:rPr>
              <w:t>0.24</w:t>
            </w:r>
            <w:r w:rsidRPr="007266E5">
              <w:rPr>
                <w:color w:val="000000"/>
                <w:sz w:val="18"/>
                <w:szCs w:val="18"/>
              </w:rPr>
              <w:t>%</w:t>
            </w:r>
          </w:p>
        </w:tc>
      </w:tr>
      <w:tr w:rsidR="00FF6998" w:rsidRPr="007266E5" w:rsidTr="00B0742A">
        <w:trPr>
          <w:trHeight w:val="315"/>
          <w:jc w:val="center"/>
        </w:trPr>
        <w:tc>
          <w:tcPr>
            <w:tcW w:w="2542" w:type="dxa"/>
            <w:tcBorders>
              <w:top w:val="nil"/>
              <w:left w:val="nil"/>
              <w:bottom w:val="single" w:sz="8" w:space="0" w:color="FFFFFF"/>
              <w:right w:val="single" w:sz="8" w:space="0" w:color="FFFFFF"/>
            </w:tcBorders>
            <w:shd w:val="clear" w:color="000000" w:fill="B4C6E7"/>
            <w:noWrap/>
            <w:vAlign w:val="center"/>
            <w:hideMark/>
          </w:tcPr>
          <w:p w:rsidR="00FF6998" w:rsidRPr="007266E5" w:rsidRDefault="00FF6998" w:rsidP="00B0742A">
            <w:pPr>
              <w:spacing w:after="0" w:line="240" w:lineRule="auto"/>
              <w:rPr>
                <w:b/>
                <w:bCs/>
                <w:color w:val="000000"/>
                <w:sz w:val="18"/>
                <w:szCs w:val="18"/>
              </w:rPr>
            </w:pPr>
            <w:r w:rsidRPr="007266E5">
              <w:rPr>
                <w:b/>
                <w:bCs/>
                <w:color w:val="000000"/>
                <w:sz w:val="18"/>
                <w:szCs w:val="18"/>
              </w:rPr>
              <w:t>TOTAL (UNIDAD 01+02)</w:t>
            </w:r>
          </w:p>
        </w:tc>
        <w:tc>
          <w:tcPr>
            <w:tcW w:w="2551" w:type="dxa"/>
            <w:tcBorders>
              <w:top w:val="nil"/>
              <w:left w:val="nil"/>
              <w:bottom w:val="single" w:sz="8" w:space="0" w:color="FFFFFF"/>
              <w:right w:val="single" w:sz="8" w:space="0" w:color="FFFFFF"/>
            </w:tcBorders>
            <w:shd w:val="clear" w:color="000000" w:fill="B4C6E7"/>
            <w:noWrap/>
            <w:vAlign w:val="center"/>
            <w:hideMark/>
          </w:tcPr>
          <w:p w:rsidR="00FF6998" w:rsidRDefault="00FF6998" w:rsidP="00B0742A">
            <w:pPr>
              <w:spacing w:after="0" w:line="240" w:lineRule="auto"/>
              <w:rPr>
                <w:b/>
                <w:bCs/>
                <w:color w:val="000000"/>
                <w:sz w:val="18"/>
                <w:szCs w:val="18"/>
              </w:rPr>
            </w:pPr>
            <w:r>
              <w:rPr>
                <w:b/>
                <w:bCs/>
                <w:color w:val="000000"/>
                <w:sz w:val="18"/>
                <w:szCs w:val="18"/>
              </w:rPr>
              <w:t xml:space="preserve"> $        1</w:t>
            </w:r>
            <w:r w:rsidR="004F5FC0">
              <w:rPr>
                <w:b/>
                <w:bCs/>
                <w:color w:val="000000"/>
                <w:sz w:val="18"/>
                <w:szCs w:val="18"/>
              </w:rPr>
              <w:t>67.416.382.594</w:t>
            </w:r>
          </w:p>
          <w:p w:rsidR="004F5FC0" w:rsidRPr="007266E5" w:rsidRDefault="004F5FC0" w:rsidP="00B0742A">
            <w:pPr>
              <w:spacing w:after="0" w:line="240" w:lineRule="auto"/>
              <w:rPr>
                <w:b/>
                <w:bCs/>
                <w:color w:val="000000"/>
                <w:sz w:val="18"/>
                <w:szCs w:val="18"/>
              </w:rPr>
            </w:pPr>
          </w:p>
        </w:tc>
        <w:tc>
          <w:tcPr>
            <w:tcW w:w="2694" w:type="dxa"/>
            <w:tcBorders>
              <w:top w:val="nil"/>
              <w:left w:val="nil"/>
              <w:bottom w:val="single" w:sz="8" w:space="0" w:color="FFFFFF"/>
              <w:right w:val="single" w:sz="8" w:space="0" w:color="FFFFFF"/>
            </w:tcBorders>
            <w:shd w:val="clear" w:color="000000" w:fill="B4C6E7"/>
            <w:noWrap/>
            <w:vAlign w:val="center"/>
            <w:hideMark/>
          </w:tcPr>
          <w:p w:rsidR="00FF6998" w:rsidRPr="007266E5" w:rsidRDefault="00FF6998" w:rsidP="00B0742A">
            <w:pPr>
              <w:spacing w:after="0" w:line="240" w:lineRule="auto"/>
              <w:jc w:val="right"/>
              <w:rPr>
                <w:b/>
                <w:bCs/>
                <w:color w:val="000000"/>
                <w:sz w:val="18"/>
                <w:szCs w:val="18"/>
              </w:rPr>
            </w:pPr>
            <w:r w:rsidRPr="007266E5">
              <w:rPr>
                <w:b/>
                <w:bCs/>
                <w:color w:val="000000"/>
                <w:sz w:val="18"/>
                <w:szCs w:val="18"/>
              </w:rPr>
              <w:t>100,00%</w:t>
            </w:r>
          </w:p>
        </w:tc>
      </w:tr>
      <w:tr w:rsidR="00FF6998" w:rsidRPr="007266E5" w:rsidTr="00B0742A">
        <w:trPr>
          <w:trHeight w:val="300"/>
          <w:jc w:val="center"/>
        </w:trPr>
        <w:tc>
          <w:tcPr>
            <w:tcW w:w="5093" w:type="dxa"/>
            <w:gridSpan w:val="2"/>
            <w:tcBorders>
              <w:top w:val="nil"/>
              <w:left w:val="nil"/>
              <w:bottom w:val="nil"/>
              <w:right w:val="nil"/>
            </w:tcBorders>
            <w:shd w:val="clear" w:color="auto" w:fill="auto"/>
            <w:noWrap/>
            <w:vAlign w:val="center"/>
            <w:hideMark/>
          </w:tcPr>
          <w:p w:rsidR="00FF6998" w:rsidRDefault="00FF6998" w:rsidP="00B0742A">
            <w:pPr>
              <w:spacing w:after="0" w:line="240" w:lineRule="auto"/>
              <w:rPr>
                <w:b/>
                <w:bCs/>
                <w:color w:val="000000"/>
                <w:sz w:val="18"/>
                <w:szCs w:val="18"/>
              </w:rPr>
            </w:pPr>
            <w:r w:rsidRPr="007266E5">
              <w:rPr>
                <w:b/>
                <w:bCs/>
                <w:color w:val="000000"/>
                <w:sz w:val="18"/>
                <w:szCs w:val="18"/>
              </w:rPr>
              <w:t>Fuente: Subdirección Financiera</w:t>
            </w:r>
          </w:p>
          <w:p w:rsidR="00FF6998" w:rsidRPr="007266E5" w:rsidRDefault="00FF6998" w:rsidP="00B0742A">
            <w:pPr>
              <w:spacing w:after="0" w:line="240" w:lineRule="auto"/>
              <w:rPr>
                <w:b/>
                <w:bCs/>
                <w:color w:val="000000"/>
                <w:sz w:val="18"/>
                <w:szCs w:val="18"/>
              </w:rPr>
            </w:pPr>
          </w:p>
        </w:tc>
        <w:tc>
          <w:tcPr>
            <w:tcW w:w="2694" w:type="dxa"/>
            <w:tcBorders>
              <w:top w:val="nil"/>
              <w:left w:val="nil"/>
              <w:bottom w:val="nil"/>
              <w:right w:val="nil"/>
            </w:tcBorders>
            <w:shd w:val="clear" w:color="auto" w:fill="auto"/>
            <w:noWrap/>
            <w:vAlign w:val="bottom"/>
            <w:hideMark/>
          </w:tcPr>
          <w:p w:rsidR="00FF6998" w:rsidRPr="007266E5" w:rsidRDefault="00FF6998" w:rsidP="00B0742A">
            <w:pPr>
              <w:spacing w:after="0" w:line="240" w:lineRule="auto"/>
              <w:rPr>
                <w:b/>
                <w:bCs/>
                <w:color w:val="000000"/>
                <w:sz w:val="18"/>
                <w:szCs w:val="18"/>
              </w:rPr>
            </w:pPr>
          </w:p>
        </w:tc>
      </w:tr>
    </w:tbl>
    <w:p w:rsidR="00FF6998" w:rsidRDefault="00FF6998" w:rsidP="00FF6998">
      <w:pPr>
        <w:pStyle w:val="CUERPO1"/>
        <w:spacing w:line="276" w:lineRule="auto"/>
        <w:rPr>
          <w:sz w:val="22"/>
          <w:szCs w:val="22"/>
          <w:lang w:val="es-MX"/>
        </w:rPr>
      </w:pPr>
      <w:r>
        <w:rPr>
          <w:sz w:val="22"/>
          <w:szCs w:val="22"/>
          <w:lang w:val="es-MX"/>
        </w:rPr>
        <w:t>Del anterior cuadro se observa que la Unidad ejecutora 01 le corresponde la suma de $1</w:t>
      </w:r>
      <w:r w:rsidR="004F5FC0">
        <w:rPr>
          <w:sz w:val="22"/>
          <w:szCs w:val="22"/>
          <w:lang w:val="es-MX"/>
        </w:rPr>
        <w:t>66.960.255.594</w:t>
      </w:r>
      <w:r>
        <w:rPr>
          <w:sz w:val="22"/>
          <w:szCs w:val="22"/>
          <w:lang w:val="es-MX"/>
        </w:rPr>
        <w:t xml:space="preserve"> Y tienen participación del 99.7</w:t>
      </w:r>
      <w:r w:rsidR="008C3361">
        <w:rPr>
          <w:sz w:val="22"/>
          <w:szCs w:val="22"/>
          <w:lang w:val="es-MX"/>
        </w:rPr>
        <w:t>3</w:t>
      </w:r>
      <w:r>
        <w:rPr>
          <w:sz w:val="22"/>
          <w:szCs w:val="22"/>
          <w:lang w:val="es-MX"/>
        </w:rPr>
        <w:t>% mientras que la Unidad ejecutora 02 el valor de $</w:t>
      </w:r>
      <w:r w:rsidR="008C3361">
        <w:rPr>
          <w:sz w:val="22"/>
          <w:szCs w:val="22"/>
          <w:lang w:val="es-MX"/>
        </w:rPr>
        <w:t>456</w:t>
      </w:r>
      <w:r>
        <w:rPr>
          <w:sz w:val="22"/>
          <w:szCs w:val="22"/>
          <w:lang w:val="es-MX"/>
        </w:rPr>
        <w:t>.</w:t>
      </w:r>
      <w:r w:rsidR="008C3361">
        <w:rPr>
          <w:sz w:val="22"/>
          <w:szCs w:val="22"/>
          <w:lang w:val="es-MX"/>
        </w:rPr>
        <w:t>127</w:t>
      </w:r>
      <w:r>
        <w:rPr>
          <w:sz w:val="22"/>
          <w:szCs w:val="22"/>
          <w:lang w:val="es-MX"/>
        </w:rPr>
        <w:t xml:space="preserve">.000, que corresponden </w:t>
      </w:r>
      <w:r w:rsidR="008C3361">
        <w:rPr>
          <w:sz w:val="22"/>
          <w:szCs w:val="22"/>
          <w:lang w:val="es-MX"/>
        </w:rPr>
        <w:t xml:space="preserve">a </w:t>
      </w:r>
      <w:r>
        <w:rPr>
          <w:sz w:val="22"/>
          <w:szCs w:val="22"/>
          <w:lang w:val="es-MX"/>
        </w:rPr>
        <w:t>los Gastos Generales asignados a la Contraloría de Bogotá D.C., con una participación del 0.2</w:t>
      </w:r>
      <w:r w:rsidR="00417562">
        <w:rPr>
          <w:sz w:val="22"/>
          <w:szCs w:val="22"/>
          <w:lang w:val="es-MX"/>
        </w:rPr>
        <w:t>7</w:t>
      </w:r>
      <w:r>
        <w:rPr>
          <w:sz w:val="22"/>
          <w:szCs w:val="22"/>
          <w:lang w:val="es-MX"/>
        </w:rPr>
        <w:t>%.</w:t>
      </w:r>
    </w:p>
    <w:p w:rsidR="00EE233A" w:rsidRDefault="00EE233A" w:rsidP="00FF6998">
      <w:pPr>
        <w:pStyle w:val="CUERPO1"/>
        <w:spacing w:line="276" w:lineRule="auto"/>
        <w:rPr>
          <w:sz w:val="22"/>
          <w:szCs w:val="22"/>
          <w:lang w:val="es-MX"/>
        </w:rPr>
      </w:pPr>
    </w:p>
    <w:p w:rsidR="008C3BEF" w:rsidRPr="00FF6998" w:rsidRDefault="00EE233A" w:rsidP="005347D1">
      <w:pPr>
        <w:spacing w:line="276" w:lineRule="auto"/>
        <w:jc w:val="both"/>
        <w:rPr>
          <w:rFonts w:ascii="Arial" w:hAnsi="Arial" w:cs="Arial"/>
          <w:sz w:val="22"/>
          <w:szCs w:val="22"/>
          <w:lang w:val="es-MX"/>
        </w:rPr>
      </w:pPr>
      <w:r>
        <w:rPr>
          <w:rFonts w:ascii="Arial" w:hAnsi="Arial" w:cs="Arial"/>
          <w:sz w:val="22"/>
          <w:szCs w:val="22"/>
          <w:lang w:val="es-MX"/>
        </w:rPr>
        <w:t xml:space="preserve"> En el cuadro 2 se muestra por concepto de gasto la distribución del presupuesto de la unidad ejecutora 01 de la Contraloría de Bogotá</w:t>
      </w:r>
    </w:p>
    <w:p w:rsidR="008C3BEF" w:rsidRDefault="008C3BEF" w:rsidP="005347D1">
      <w:pPr>
        <w:spacing w:line="276" w:lineRule="auto"/>
        <w:jc w:val="both"/>
        <w:rPr>
          <w:rFonts w:ascii="Arial" w:hAnsi="Arial" w:cs="Arial"/>
          <w:sz w:val="22"/>
          <w:szCs w:val="22"/>
        </w:rPr>
      </w:pPr>
    </w:p>
    <w:p w:rsidR="008C3BEF" w:rsidRPr="00061448" w:rsidRDefault="008C3BEF" w:rsidP="005347D1">
      <w:pPr>
        <w:spacing w:line="276" w:lineRule="auto"/>
        <w:jc w:val="both"/>
        <w:rPr>
          <w:b/>
          <w:sz w:val="14"/>
          <w:szCs w:val="22"/>
          <w:lang w:val="es-MX"/>
        </w:rPr>
      </w:pPr>
    </w:p>
    <w:p w:rsidR="00CD17B2" w:rsidRPr="007266E5" w:rsidRDefault="00EE233A" w:rsidP="00061448">
      <w:pPr>
        <w:pStyle w:val="CUERPO1"/>
        <w:spacing w:after="0" w:line="276" w:lineRule="auto"/>
        <w:jc w:val="center"/>
        <w:rPr>
          <w:b/>
          <w:sz w:val="18"/>
          <w:szCs w:val="22"/>
          <w:lang w:val="es-MX"/>
        </w:rPr>
      </w:pPr>
      <w:r>
        <w:rPr>
          <w:b/>
          <w:sz w:val="18"/>
          <w:szCs w:val="22"/>
          <w:lang w:val="es-MX"/>
        </w:rPr>
        <w:t>CUADRO 2</w:t>
      </w:r>
    </w:p>
    <w:p w:rsidR="004F7CCD" w:rsidRPr="007266E5" w:rsidRDefault="004F7CCD" w:rsidP="00061448">
      <w:pPr>
        <w:pStyle w:val="CUERPO1"/>
        <w:spacing w:after="0" w:line="276" w:lineRule="auto"/>
        <w:jc w:val="center"/>
        <w:rPr>
          <w:b/>
          <w:sz w:val="18"/>
          <w:szCs w:val="22"/>
          <w:lang w:val="es-MX"/>
        </w:rPr>
      </w:pPr>
      <w:r w:rsidRPr="007266E5">
        <w:rPr>
          <w:b/>
          <w:sz w:val="18"/>
          <w:szCs w:val="22"/>
          <w:lang w:val="es-MX"/>
        </w:rPr>
        <w:t>CONTRA</w:t>
      </w:r>
      <w:r w:rsidR="00BD489F">
        <w:rPr>
          <w:b/>
          <w:sz w:val="18"/>
          <w:szCs w:val="22"/>
          <w:lang w:val="es-MX"/>
        </w:rPr>
        <w:t>LORÍA D</w:t>
      </w:r>
      <w:r w:rsidR="00EE233A">
        <w:rPr>
          <w:b/>
          <w:sz w:val="18"/>
          <w:szCs w:val="22"/>
          <w:lang w:val="es-MX"/>
        </w:rPr>
        <w:t>E BOGOTÁ PRESUPUESTO 201</w:t>
      </w:r>
      <w:r w:rsidR="00646BCE">
        <w:rPr>
          <w:b/>
          <w:sz w:val="18"/>
          <w:szCs w:val="22"/>
          <w:lang w:val="es-MX"/>
        </w:rPr>
        <w:t>9</w:t>
      </w:r>
    </w:p>
    <w:tbl>
      <w:tblPr>
        <w:tblW w:w="8982" w:type="dxa"/>
        <w:jc w:val="center"/>
        <w:tblCellMar>
          <w:left w:w="70" w:type="dxa"/>
          <w:right w:w="70" w:type="dxa"/>
        </w:tblCellMar>
        <w:tblLook w:val="04A0" w:firstRow="1" w:lastRow="0" w:firstColumn="1" w:lastColumn="0" w:noHBand="0" w:noVBand="1"/>
      </w:tblPr>
      <w:tblGrid>
        <w:gridCol w:w="880"/>
        <w:gridCol w:w="2153"/>
        <w:gridCol w:w="2045"/>
        <w:gridCol w:w="2004"/>
        <w:gridCol w:w="1900"/>
      </w:tblGrid>
      <w:tr w:rsidR="005347D1" w:rsidRPr="00394262" w:rsidTr="005347D1">
        <w:trPr>
          <w:trHeight w:val="465"/>
          <w:jc w:val="center"/>
        </w:trPr>
        <w:tc>
          <w:tcPr>
            <w:tcW w:w="880" w:type="dxa"/>
            <w:tcBorders>
              <w:top w:val="nil"/>
              <w:left w:val="nil"/>
              <w:bottom w:val="single" w:sz="12" w:space="0" w:color="FFFFFF"/>
              <w:right w:val="single" w:sz="4" w:space="0" w:color="FFFFFF"/>
            </w:tcBorders>
            <w:shd w:val="clear" w:color="4472C4" w:fill="4472C4"/>
            <w:noWrap/>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CODIGO</w:t>
            </w:r>
          </w:p>
        </w:tc>
        <w:tc>
          <w:tcPr>
            <w:tcW w:w="2153" w:type="dxa"/>
            <w:tcBorders>
              <w:top w:val="nil"/>
              <w:left w:val="single" w:sz="4" w:space="0" w:color="FFFFFF"/>
              <w:bottom w:val="single" w:sz="12" w:space="0" w:color="FFFFFF"/>
              <w:right w:val="single" w:sz="4" w:space="0" w:color="FFFFFF"/>
            </w:tcBorders>
            <w:shd w:val="clear" w:color="4472C4" w:fill="4472C4"/>
            <w:noWrap/>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CONCEPTO</w:t>
            </w:r>
          </w:p>
        </w:tc>
        <w:tc>
          <w:tcPr>
            <w:tcW w:w="2045" w:type="dxa"/>
            <w:tcBorders>
              <w:top w:val="nil"/>
              <w:left w:val="single" w:sz="4" w:space="0" w:color="FFFFFF"/>
              <w:bottom w:val="single" w:sz="12" w:space="0" w:color="FFFFFF"/>
              <w:right w:val="single" w:sz="4" w:space="0" w:color="FFFFFF"/>
            </w:tcBorders>
            <w:shd w:val="clear" w:color="4472C4" w:fill="4472C4"/>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 xml:space="preserve">RECURSOS </w:t>
            </w:r>
            <w:r w:rsidRPr="00394262">
              <w:rPr>
                <w:b/>
                <w:bCs/>
                <w:color w:val="FFFFFF"/>
                <w:sz w:val="18"/>
                <w:szCs w:val="16"/>
              </w:rPr>
              <w:br/>
              <w:t>ADMINISTRADOS</w:t>
            </w:r>
          </w:p>
        </w:tc>
        <w:tc>
          <w:tcPr>
            <w:tcW w:w="2004" w:type="dxa"/>
            <w:tcBorders>
              <w:top w:val="nil"/>
              <w:left w:val="single" w:sz="4" w:space="0" w:color="FFFFFF"/>
              <w:bottom w:val="single" w:sz="12" w:space="0" w:color="FFFFFF"/>
              <w:right w:val="single" w:sz="4" w:space="0" w:color="FFFFFF"/>
            </w:tcBorders>
            <w:shd w:val="clear" w:color="4472C4" w:fill="4472C4"/>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 xml:space="preserve">APORTES </w:t>
            </w:r>
            <w:r w:rsidRPr="00394262">
              <w:rPr>
                <w:b/>
                <w:bCs/>
                <w:color w:val="FFFFFF"/>
                <w:sz w:val="18"/>
                <w:szCs w:val="16"/>
              </w:rPr>
              <w:br/>
              <w:t>DISTRITO</w:t>
            </w:r>
          </w:p>
        </w:tc>
        <w:tc>
          <w:tcPr>
            <w:tcW w:w="1900" w:type="dxa"/>
            <w:tcBorders>
              <w:top w:val="nil"/>
              <w:left w:val="single" w:sz="4" w:space="0" w:color="FFFFFF"/>
              <w:bottom w:val="single" w:sz="12" w:space="0" w:color="FFFFFF"/>
              <w:right w:val="nil"/>
            </w:tcBorders>
            <w:shd w:val="clear" w:color="4472C4" w:fill="4472C4"/>
            <w:noWrap/>
            <w:vAlign w:val="bottom"/>
            <w:hideMark/>
          </w:tcPr>
          <w:p w:rsidR="00394262" w:rsidRPr="00394262" w:rsidRDefault="00394262" w:rsidP="00394262">
            <w:pPr>
              <w:spacing w:after="0" w:line="240" w:lineRule="auto"/>
              <w:jc w:val="center"/>
              <w:rPr>
                <w:b/>
                <w:bCs/>
                <w:color w:val="FFFFFF"/>
                <w:sz w:val="18"/>
                <w:szCs w:val="16"/>
              </w:rPr>
            </w:pPr>
            <w:r w:rsidRPr="00394262">
              <w:rPr>
                <w:b/>
                <w:bCs/>
                <w:color w:val="FFFFFF"/>
                <w:sz w:val="18"/>
                <w:szCs w:val="16"/>
              </w:rPr>
              <w:t>TOTAL</w:t>
            </w:r>
          </w:p>
        </w:tc>
      </w:tr>
      <w:tr w:rsidR="00394262" w:rsidRPr="00394262" w:rsidTr="005347D1">
        <w:trPr>
          <w:trHeight w:val="300"/>
          <w:jc w:val="center"/>
        </w:trPr>
        <w:tc>
          <w:tcPr>
            <w:tcW w:w="880" w:type="dxa"/>
            <w:tcBorders>
              <w:top w:val="single" w:sz="4" w:space="0" w:color="FFFFFF"/>
              <w:left w:val="nil"/>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3-1</w:t>
            </w:r>
          </w:p>
        </w:tc>
        <w:tc>
          <w:tcPr>
            <w:tcW w:w="2153"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Gastos de funcionamiento</w:t>
            </w:r>
          </w:p>
        </w:tc>
        <w:tc>
          <w:tcPr>
            <w:tcW w:w="2045"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p>
        </w:tc>
        <w:tc>
          <w:tcPr>
            <w:tcW w:w="2004"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5347D1" w:rsidRPr="00394262" w:rsidRDefault="005347D1" w:rsidP="00EE233A">
            <w:pPr>
              <w:spacing w:after="0" w:line="240" w:lineRule="auto"/>
              <w:jc w:val="center"/>
              <w:rPr>
                <w:color w:val="000000"/>
                <w:sz w:val="18"/>
                <w:szCs w:val="16"/>
              </w:rPr>
            </w:pPr>
          </w:p>
          <w:p w:rsidR="00394262" w:rsidRPr="00394262" w:rsidRDefault="000657FE" w:rsidP="00EE233A">
            <w:pPr>
              <w:spacing w:after="0" w:line="240" w:lineRule="auto"/>
              <w:jc w:val="center"/>
              <w:rPr>
                <w:color w:val="000000"/>
                <w:sz w:val="16"/>
                <w:szCs w:val="16"/>
              </w:rPr>
            </w:pPr>
            <w:r w:rsidRPr="005347D1">
              <w:rPr>
                <w:color w:val="000000"/>
                <w:sz w:val="18"/>
                <w:szCs w:val="16"/>
              </w:rPr>
              <w:t>$ 144</w:t>
            </w:r>
            <w:r w:rsidR="004F5FC0">
              <w:rPr>
                <w:color w:val="000000"/>
                <w:sz w:val="18"/>
                <w:szCs w:val="16"/>
              </w:rPr>
              <w:t>.564.068.594</w:t>
            </w:r>
          </w:p>
        </w:tc>
        <w:tc>
          <w:tcPr>
            <w:tcW w:w="1900" w:type="dxa"/>
            <w:tcBorders>
              <w:top w:val="single" w:sz="4" w:space="0" w:color="FFFFFF"/>
              <w:left w:val="single" w:sz="4" w:space="0" w:color="FFFFFF"/>
              <w:bottom w:val="single" w:sz="4" w:space="0" w:color="FFFFFF"/>
              <w:right w:val="nil"/>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 xml:space="preserve"> </w:t>
            </w:r>
            <w:r w:rsidR="000657FE">
              <w:rPr>
                <w:color w:val="000000"/>
                <w:sz w:val="18"/>
                <w:szCs w:val="16"/>
              </w:rPr>
              <w:t>$ 144</w:t>
            </w:r>
            <w:r w:rsidR="004F5FC0">
              <w:rPr>
                <w:color w:val="000000"/>
                <w:sz w:val="18"/>
                <w:szCs w:val="16"/>
              </w:rPr>
              <w:t>.564.068.594</w:t>
            </w:r>
          </w:p>
        </w:tc>
      </w:tr>
      <w:tr w:rsidR="00394262" w:rsidRPr="00394262" w:rsidTr="005347D1">
        <w:trPr>
          <w:trHeight w:val="300"/>
          <w:jc w:val="center"/>
        </w:trPr>
        <w:tc>
          <w:tcPr>
            <w:tcW w:w="880" w:type="dxa"/>
            <w:tcBorders>
              <w:top w:val="single" w:sz="4" w:space="0" w:color="FFFFFF"/>
              <w:left w:val="nil"/>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3-2</w:t>
            </w:r>
          </w:p>
        </w:tc>
        <w:tc>
          <w:tcPr>
            <w:tcW w:w="2153"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Servicio de Deuda</w:t>
            </w:r>
          </w:p>
        </w:tc>
        <w:tc>
          <w:tcPr>
            <w:tcW w:w="2045"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color w:val="000000"/>
                <w:sz w:val="18"/>
                <w:szCs w:val="16"/>
              </w:rPr>
            </w:pPr>
          </w:p>
        </w:tc>
        <w:tc>
          <w:tcPr>
            <w:tcW w:w="2004"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rsidR="00394262" w:rsidRPr="00394262" w:rsidRDefault="00394262" w:rsidP="00394262">
            <w:pPr>
              <w:spacing w:after="0" w:line="240" w:lineRule="auto"/>
              <w:rPr>
                <w:rFonts w:ascii="Times New Roman" w:hAnsi="Times New Roman"/>
                <w:sz w:val="18"/>
              </w:rPr>
            </w:pPr>
          </w:p>
        </w:tc>
        <w:tc>
          <w:tcPr>
            <w:tcW w:w="1900" w:type="dxa"/>
            <w:tcBorders>
              <w:top w:val="single" w:sz="4" w:space="0" w:color="FFFFFF"/>
              <w:left w:val="single" w:sz="4" w:space="0" w:color="FFFFFF"/>
              <w:bottom w:val="single" w:sz="4" w:space="0" w:color="FFFFFF"/>
              <w:right w:val="nil"/>
            </w:tcBorders>
            <w:shd w:val="clear" w:color="D9E1F2" w:fill="D9E1F2"/>
            <w:noWrap/>
            <w:vAlign w:val="bottom"/>
            <w:hideMark/>
          </w:tcPr>
          <w:p w:rsidR="00394262" w:rsidRPr="00394262" w:rsidRDefault="00345484" w:rsidP="00394262">
            <w:pPr>
              <w:spacing w:after="0" w:line="240" w:lineRule="auto"/>
              <w:rPr>
                <w:color w:val="000000"/>
                <w:sz w:val="22"/>
                <w:szCs w:val="22"/>
              </w:rPr>
            </w:pPr>
            <w:r w:rsidRPr="00345484">
              <w:rPr>
                <w:color w:val="000000"/>
                <w:sz w:val="18"/>
                <w:szCs w:val="22"/>
              </w:rPr>
              <w:t xml:space="preserve">                                    -  </w:t>
            </w:r>
          </w:p>
        </w:tc>
      </w:tr>
      <w:tr w:rsidR="00394262" w:rsidRPr="00394262" w:rsidTr="005347D1">
        <w:trPr>
          <w:trHeight w:val="300"/>
          <w:jc w:val="center"/>
        </w:trPr>
        <w:tc>
          <w:tcPr>
            <w:tcW w:w="880" w:type="dxa"/>
            <w:tcBorders>
              <w:top w:val="single" w:sz="4" w:space="0" w:color="FFFFFF"/>
              <w:left w:val="nil"/>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3-3</w:t>
            </w:r>
          </w:p>
        </w:tc>
        <w:tc>
          <w:tcPr>
            <w:tcW w:w="2153"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394262" w:rsidP="00394262">
            <w:pPr>
              <w:spacing w:after="0" w:line="240" w:lineRule="auto"/>
              <w:rPr>
                <w:color w:val="000000"/>
                <w:sz w:val="18"/>
                <w:szCs w:val="16"/>
              </w:rPr>
            </w:pPr>
            <w:r w:rsidRPr="00394262">
              <w:rPr>
                <w:color w:val="000000"/>
                <w:sz w:val="18"/>
                <w:szCs w:val="16"/>
              </w:rPr>
              <w:t xml:space="preserve">Inversión </w:t>
            </w:r>
          </w:p>
        </w:tc>
        <w:tc>
          <w:tcPr>
            <w:tcW w:w="2045"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B110B0" w:rsidP="00394262">
            <w:pPr>
              <w:spacing w:after="0" w:line="240" w:lineRule="auto"/>
              <w:rPr>
                <w:color w:val="000000"/>
                <w:sz w:val="18"/>
                <w:szCs w:val="16"/>
              </w:rPr>
            </w:pPr>
            <w:r>
              <w:rPr>
                <w:color w:val="000000"/>
                <w:sz w:val="18"/>
                <w:szCs w:val="16"/>
              </w:rPr>
              <w:t xml:space="preserve"> $         </w:t>
            </w:r>
            <w:r w:rsidR="004F5FC0">
              <w:rPr>
                <w:color w:val="000000"/>
                <w:sz w:val="18"/>
                <w:szCs w:val="16"/>
              </w:rPr>
              <w:t>913.846.000</w:t>
            </w:r>
          </w:p>
        </w:tc>
        <w:tc>
          <w:tcPr>
            <w:tcW w:w="2004"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rsidR="00394262" w:rsidRPr="00394262" w:rsidRDefault="00B110B0" w:rsidP="00394262">
            <w:pPr>
              <w:spacing w:after="0" w:line="240" w:lineRule="auto"/>
              <w:rPr>
                <w:color w:val="000000"/>
                <w:sz w:val="18"/>
                <w:szCs w:val="16"/>
              </w:rPr>
            </w:pPr>
            <w:r>
              <w:rPr>
                <w:color w:val="000000"/>
                <w:sz w:val="18"/>
                <w:szCs w:val="16"/>
              </w:rPr>
              <w:t xml:space="preserve"> $        </w:t>
            </w:r>
            <w:r w:rsidR="004F5FC0">
              <w:rPr>
                <w:color w:val="000000"/>
                <w:sz w:val="18"/>
                <w:szCs w:val="16"/>
              </w:rPr>
              <w:t>21.482.341.000</w:t>
            </w:r>
          </w:p>
        </w:tc>
        <w:tc>
          <w:tcPr>
            <w:tcW w:w="1900" w:type="dxa"/>
            <w:tcBorders>
              <w:top w:val="single" w:sz="4" w:space="0" w:color="FFFFFF"/>
              <w:left w:val="single" w:sz="4" w:space="0" w:color="FFFFFF"/>
              <w:bottom w:val="single" w:sz="4" w:space="0" w:color="FFFFFF"/>
              <w:right w:val="nil"/>
            </w:tcBorders>
            <w:shd w:val="clear" w:color="B4C6E7" w:fill="B4C6E7"/>
            <w:noWrap/>
            <w:vAlign w:val="bottom"/>
            <w:hideMark/>
          </w:tcPr>
          <w:p w:rsidR="00394262" w:rsidRPr="00394262" w:rsidRDefault="0049780C" w:rsidP="00394262">
            <w:pPr>
              <w:spacing w:after="0" w:line="240" w:lineRule="auto"/>
              <w:rPr>
                <w:color w:val="000000"/>
                <w:sz w:val="18"/>
                <w:szCs w:val="16"/>
              </w:rPr>
            </w:pPr>
            <w:r>
              <w:rPr>
                <w:color w:val="000000"/>
                <w:sz w:val="18"/>
                <w:szCs w:val="16"/>
              </w:rPr>
              <w:t xml:space="preserve"> $     </w:t>
            </w:r>
            <w:r w:rsidR="004F5FC0">
              <w:rPr>
                <w:color w:val="000000"/>
                <w:sz w:val="18"/>
                <w:szCs w:val="16"/>
              </w:rPr>
              <w:t>22.396.187.000</w:t>
            </w:r>
          </w:p>
        </w:tc>
      </w:tr>
      <w:tr w:rsidR="00394262" w:rsidRPr="00394262" w:rsidTr="005347D1">
        <w:trPr>
          <w:trHeight w:val="300"/>
          <w:jc w:val="center"/>
        </w:trPr>
        <w:tc>
          <w:tcPr>
            <w:tcW w:w="3033" w:type="dxa"/>
            <w:gridSpan w:val="2"/>
            <w:tcBorders>
              <w:top w:val="single" w:sz="4" w:space="0" w:color="FFFFFF"/>
              <w:left w:val="nil"/>
              <w:bottom w:val="nil"/>
              <w:right w:val="single" w:sz="4" w:space="0" w:color="FFFFFF"/>
            </w:tcBorders>
            <w:shd w:val="clear" w:color="D9E1F2" w:fill="D9E1F2"/>
            <w:noWrap/>
            <w:vAlign w:val="bottom"/>
            <w:hideMark/>
          </w:tcPr>
          <w:p w:rsidR="00394262" w:rsidRPr="00394262" w:rsidRDefault="00394262" w:rsidP="00394262">
            <w:pPr>
              <w:spacing w:after="0" w:line="240" w:lineRule="auto"/>
              <w:rPr>
                <w:b/>
                <w:bCs/>
                <w:color w:val="000000"/>
                <w:sz w:val="18"/>
                <w:szCs w:val="16"/>
              </w:rPr>
            </w:pPr>
            <w:r w:rsidRPr="00394262">
              <w:rPr>
                <w:b/>
                <w:bCs/>
                <w:color w:val="000000"/>
                <w:sz w:val="18"/>
                <w:szCs w:val="16"/>
              </w:rPr>
              <w:t xml:space="preserve">Total gastos e inversiones </w:t>
            </w:r>
          </w:p>
        </w:tc>
        <w:tc>
          <w:tcPr>
            <w:tcW w:w="2045" w:type="dxa"/>
            <w:tcBorders>
              <w:top w:val="single" w:sz="4" w:space="0" w:color="FFFFFF"/>
              <w:left w:val="single" w:sz="4" w:space="0" w:color="FFFFFF"/>
              <w:bottom w:val="nil"/>
              <w:right w:val="single" w:sz="4" w:space="0" w:color="FFFFFF"/>
            </w:tcBorders>
            <w:shd w:val="clear" w:color="D9E1F2" w:fill="D9E1F2"/>
            <w:noWrap/>
            <w:vAlign w:val="bottom"/>
            <w:hideMark/>
          </w:tcPr>
          <w:p w:rsidR="00394262" w:rsidRPr="00394262" w:rsidRDefault="00394262" w:rsidP="00394262">
            <w:pPr>
              <w:spacing w:after="0" w:line="240" w:lineRule="auto"/>
              <w:rPr>
                <w:b/>
                <w:bCs/>
                <w:color w:val="000000"/>
                <w:sz w:val="18"/>
                <w:szCs w:val="16"/>
              </w:rPr>
            </w:pPr>
          </w:p>
        </w:tc>
        <w:tc>
          <w:tcPr>
            <w:tcW w:w="2004" w:type="dxa"/>
            <w:tcBorders>
              <w:top w:val="single" w:sz="4" w:space="0" w:color="FFFFFF"/>
              <w:left w:val="single" w:sz="4" w:space="0" w:color="FFFFFF"/>
              <w:bottom w:val="nil"/>
              <w:right w:val="single" w:sz="4" w:space="0" w:color="FFFFFF"/>
            </w:tcBorders>
            <w:shd w:val="clear" w:color="D9E1F2" w:fill="D9E1F2"/>
            <w:noWrap/>
            <w:vAlign w:val="bottom"/>
            <w:hideMark/>
          </w:tcPr>
          <w:p w:rsidR="00394262" w:rsidRPr="00394262" w:rsidRDefault="00394262" w:rsidP="00394262">
            <w:pPr>
              <w:spacing w:after="0" w:line="240" w:lineRule="auto"/>
              <w:rPr>
                <w:rFonts w:ascii="Times New Roman" w:hAnsi="Times New Roman"/>
                <w:sz w:val="18"/>
              </w:rPr>
            </w:pPr>
          </w:p>
        </w:tc>
        <w:tc>
          <w:tcPr>
            <w:tcW w:w="1900" w:type="dxa"/>
            <w:tcBorders>
              <w:top w:val="single" w:sz="4" w:space="0" w:color="FFFFFF"/>
              <w:left w:val="single" w:sz="4" w:space="0" w:color="FFFFFF"/>
              <w:bottom w:val="nil"/>
              <w:right w:val="nil"/>
            </w:tcBorders>
            <w:shd w:val="clear" w:color="D9E1F2" w:fill="D9E1F2"/>
            <w:noWrap/>
            <w:vAlign w:val="bottom"/>
            <w:hideMark/>
          </w:tcPr>
          <w:p w:rsidR="00394262" w:rsidRPr="00394262" w:rsidRDefault="0049780C" w:rsidP="005347D1">
            <w:pPr>
              <w:spacing w:after="0" w:line="240" w:lineRule="auto"/>
              <w:rPr>
                <w:b/>
                <w:bCs/>
                <w:color w:val="000000"/>
                <w:sz w:val="18"/>
                <w:szCs w:val="16"/>
              </w:rPr>
            </w:pPr>
            <w:r>
              <w:rPr>
                <w:b/>
                <w:bCs/>
                <w:color w:val="000000"/>
                <w:sz w:val="18"/>
                <w:szCs w:val="16"/>
              </w:rPr>
              <w:t xml:space="preserve"> </w:t>
            </w:r>
            <w:r w:rsidR="000657FE">
              <w:rPr>
                <w:b/>
                <w:bCs/>
                <w:color w:val="000000"/>
                <w:sz w:val="18"/>
                <w:szCs w:val="16"/>
              </w:rPr>
              <w:t>$ 166</w:t>
            </w:r>
            <w:r w:rsidR="004F5FC0">
              <w:rPr>
                <w:b/>
                <w:bCs/>
                <w:color w:val="000000"/>
                <w:sz w:val="18"/>
                <w:szCs w:val="16"/>
              </w:rPr>
              <w:t>.960.255.594</w:t>
            </w:r>
          </w:p>
        </w:tc>
      </w:tr>
      <w:tr w:rsidR="00394262" w:rsidRPr="00394262" w:rsidTr="005347D1">
        <w:trPr>
          <w:trHeight w:val="300"/>
          <w:jc w:val="center"/>
        </w:trPr>
        <w:tc>
          <w:tcPr>
            <w:tcW w:w="3033" w:type="dxa"/>
            <w:gridSpan w:val="2"/>
            <w:tcBorders>
              <w:top w:val="nil"/>
              <w:left w:val="nil"/>
              <w:bottom w:val="nil"/>
              <w:right w:val="nil"/>
            </w:tcBorders>
            <w:shd w:val="clear" w:color="auto" w:fill="auto"/>
            <w:noWrap/>
            <w:vAlign w:val="bottom"/>
            <w:hideMark/>
          </w:tcPr>
          <w:p w:rsidR="00394262" w:rsidRDefault="00394262" w:rsidP="00394262">
            <w:pPr>
              <w:spacing w:after="0" w:line="240" w:lineRule="auto"/>
              <w:rPr>
                <w:b/>
                <w:bCs/>
                <w:color w:val="000000"/>
                <w:sz w:val="18"/>
                <w:szCs w:val="16"/>
              </w:rPr>
            </w:pPr>
            <w:r w:rsidRPr="00394262">
              <w:rPr>
                <w:b/>
                <w:bCs/>
                <w:color w:val="000000"/>
                <w:sz w:val="18"/>
                <w:szCs w:val="16"/>
              </w:rPr>
              <w:lastRenderedPageBreak/>
              <w:t>Fuente: Subdirección Financiera</w:t>
            </w:r>
          </w:p>
          <w:p w:rsidR="00FF6998" w:rsidRPr="00394262" w:rsidRDefault="00FF6998" w:rsidP="00394262">
            <w:pPr>
              <w:spacing w:after="0" w:line="240" w:lineRule="auto"/>
              <w:rPr>
                <w:b/>
                <w:bCs/>
                <w:color w:val="000000"/>
                <w:sz w:val="18"/>
                <w:szCs w:val="16"/>
              </w:rPr>
            </w:pPr>
          </w:p>
        </w:tc>
        <w:tc>
          <w:tcPr>
            <w:tcW w:w="2045" w:type="dxa"/>
            <w:tcBorders>
              <w:top w:val="nil"/>
              <w:left w:val="nil"/>
              <w:bottom w:val="nil"/>
              <w:right w:val="nil"/>
            </w:tcBorders>
            <w:shd w:val="clear" w:color="auto" w:fill="auto"/>
            <w:noWrap/>
            <w:vAlign w:val="bottom"/>
            <w:hideMark/>
          </w:tcPr>
          <w:p w:rsidR="00394262" w:rsidRPr="00394262" w:rsidRDefault="00394262" w:rsidP="00394262">
            <w:pPr>
              <w:spacing w:after="0" w:line="240" w:lineRule="auto"/>
              <w:rPr>
                <w:b/>
                <w:bCs/>
                <w:color w:val="000000"/>
                <w:sz w:val="18"/>
                <w:szCs w:val="16"/>
              </w:rPr>
            </w:pPr>
          </w:p>
        </w:tc>
        <w:tc>
          <w:tcPr>
            <w:tcW w:w="2004" w:type="dxa"/>
            <w:tcBorders>
              <w:top w:val="nil"/>
              <w:left w:val="nil"/>
              <w:bottom w:val="nil"/>
              <w:right w:val="nil"/>
            </w:tcBorders>
            <w:shd w:val="clear" w:color="auto" w:fill="auto"/>
            <w:noWrap/>
            <w:vAlign w:val="bottom"/>
            <w:hideMark/>
          </w:tcPr>
          <w:p w:rsidR="00394262" w:rsidRPr="00394262" w:rsidRDefault="00394262" w:rsidP="00394262">
            <w:pPr>
              <w:spacing w:after="0" w:line="240" w:lineRule="auto"/>
              <w:rPr>
                <w:rFonts w:ascii="Times New Roman" w:hAnsi="Times New Roman"/>
                <w:sz w:val="18"/>
              </w:rPr>
            </w:pPr>
          </w:p>
        </w:tc>
        <w:tc>
          <w:tcPr>
            <w:tcW w:w="1900" w:type="dxa"/>
            <w:tcBorders>
              <w:top w:val="nil"/>
              <w:left w:val="nil"/>
              <w:bottom w:val="nil"/>
              <w:right w:val="nil"/>
            </w:tcBorders>
            <w:shd w:val="clear" w:color="auto" w:fill="auto"/>
            <w:noWrap/>
            <w:vAlign w:val="bottom"/>
            <w:hideMark/>
          </w:tcPr>
          <w:p w:rsidR="00394262" w:rsidRPr="00394262" w:rsidRDefault="00394262" w:rsidP="00394262">
            <w:pPr>
              <w:spacing w:after="0" w:line="240" w:lineRule="auto"/>
              <w:rPr>
                <w:rFonts w:ascii="Times New Roman" w:hAnsi="Times New Roman"/>
                <w:sz w:val="18"/>
              </w:rPr>
            </w:pPr>
          </w:p>
        </w:tc>
      </w:tr>
    </w:tbl>
    <w:p w:rsidR="00FF6998" w:rsidRPr="0027571E" w:rsidRDefault="00EE233A" w:rsidP="00FF6998">
      <w:pPr>
        <w:pStyle w:val="CUERPO1"/>
        <w:spacing w:after="0" w:line="276" w:lineRule="auto"/>
        <w:rPr>
          <w:color w:val="FF0000"/>
          <w:sz w:val="22"/>
          <w:szCs w:val="22"/>
          <w:lang w:val="es-MX"/>
        </w:rPr>
      </w:pPr>
      <w:r>
        <w:rPr>
          <w:sz w:val="22"/>
          <w:szCs w:val="22"/>
          <w:lang w:val="es-MX"/>
        </w:rPr>
        <w:t xml:space="preserve"> S</w:t>
      </w:r>
      <w:r w:rsidR="00FF6998" w:rsidRPr="00857A07">
        <w:rPr>
          <w:sz w:val="22"/>
          <w:szCs w:val="22"/>
          <w:lang w:val="es-MX"/>
        </w:rPr>
        <w:t xml:space="preserve">e observa la alta participación de los gastos de funcionamiento </w:t>
      </w:r>
      <w:r w:rsidR="00FF6998">
        <w:rPr>
          <w:sz w:val="22"/>
          <w:szCs w:val="22"/>
          <w:lang w:val="es-MX"/>
        </w:rPr>
        <w:t>por</w:t>
      </w:r>
      <w:r w:rsidR="00FF6998" w:rsidRPr="00857A07">
        <w:rPr>
          <w:sz w:val="22"/>
          <w:szCs w:val="22"/>
          <w:lang w:val="es-MX"/>
        </w:rPr>
        <w:t xml:space="preserve"> un total de </w:t>
      </w:r>
      <w:r w:rsidR="00FF6998" w:rsidRPr="00857A07">
        <w:rPr>
          <w:color w:val="000000"/>
          <w:sz w:val="22"/>
          <w:szCs w:val="22"/>
        </w:rPr>
        <w:t>$</w:t>
      </w:r>
      <w:r w:rsidR="00FF6998">
        <w:rPr>
          <w:color w:val="000000"/>
          <w:sz w:val="22"/>
          <w:szCs w:val="22"/>
        </w:rPr>
        <w:t>1</w:t>
      </w:r>
      <w:r w:rsidR="000657FE">
        <w:rPr>
          <w:color w:val="000000"/>
          <w:sz w:val="22"/>
          <w:szCs w:val="22"/>
        </w:rPr>
        <w:t>44.564.068.594</w:t>
      </w:r>
      <w:r w:rsidR="00FF6998">
        <w:rPr>
          <w:color w:val="000000"/>
          <w:sz w:val="22"/>
          <w:szCs w:val="22"/>
        </w:rPr>
        <w:t>, que equivale al 8</w:t>
      </w:r>
      <w:r w:rsidR="000657FE">
        <w:rPr>
          <w:color w:val="000000"/>
          <w:sz w:val="22"/>
          <w:szCs w:val="22"/>
        </w:rPr>
        <w:t>6</w:t>
      </w:r>
      <w:r w:rsidR="00FF6998">
        <w:rPr>
          <w:color w:val="000000"/>
          <w:sz w:val="22"/>
          <w:szCs w:val="22"/>
        </w:rPr>
        <w:t>.</w:t>
      </w:r>
      <w:r w:rsidR="000657FE">
        <w:rPr>
          <w:color w:val="000000"/>
          <w:sz w:val="22"/>
          <w:szCs w:val="22"/>
        </w:rPr>
        <w:t>5</w:t>
      </w:r>
      <w:r w:rsidR="00FF6998">
        <w:rPr>
          <w:color w:val="000000"/>
          <w:sz w:val="22"/>
          <w:szCs w:val="22"/>
        </w:rPr>
        <w:t>%,</w:t>
      </w:r>
      <w:r w:rsidR="00FF6998" w:rsidRPr="00857A07">
        <w:rPr>
          <w:color w:val="000000"/>
          <w:sz w:val="22"/>
          <w:szCs w:val="22"/>
        </w:rPr>
        <w:t xml:space="preserve"> </w:t>
      </w:r>
      <w:r w:rsidR="00FF6998" w:rsidRPr="00857A07">
        <w:rPr>
          <w:sz w:val="22"/>
          <w:szCs w:val="22"/>
          <w:lang w:val="es-MX"/>
        </w:rPr>
        <w:t xml:space="preserve">mientras que los gastos de inversión tienen el </w:t>
      </w:r>
      <w:r w:rsidR="00FF6998">
        <w:rPr>
          <w:sz w:val="22"/>
          <w:szCs w:val="22"/>
          <w:lang w:val="es-MX"/>
        </w:rPr>
        <w:t>1</w:t>
      </w:r>
      <w:r w:rsidR="000657FE">
        <w:rPr>
          <w:sz w:val="22"/>
          <w:szCs w:val="22"/>
          <w:lang w:val="es-MX"/>
        </w:rPr>
        <w:t>3.4</w:t>
      </w:r>
      <w:r w:rsidR="00FF6998" w:rsidRPr="00857A07">
        <w:rPr>
          <w:sz w:val="22"/>
          <w:szCs w:val="22"/>
          <w:lang w:val="es-MX"/>
        </w:rPr>
        <w:t>% restante</w:t>
      </w:r>
      <w:r w:rsidR="00FF6998">
        <w:rPr>
          <w:sz w:val="22"/>
          <w:szCs w:val="22"/>
          <w:lang w:val="es-MX"/>
        </w:rPr>
        <w:t xml:space="preserve"> o sea $ </w:t>
      </w:r>
      <w:r w:rsidR="000657FE">
        <w:rPr>
          <w:sz w:val="22"/>
          <w:szCs w:val="22"/>
          <w:lang w:val="es-MX"/>
        </w:rPr>
        <w:t>22.396.187</w:t>
      </w:r>
      <w:r w:rsidR="00FF6998">
        <w:rPr>
          <w:sz w:val="22"/>
          <w:szCs w:val="22"/>
          <w:lang w:val="es-MX"/>
        </w:rPr>
        <w:t>.000</w:t>
      </w:r>
    </w:p>
    <w:p w:rsidR="00394262" w:rsidRDefault="00394262" w:rsidP="00061448">
      <w:pPr>
        <w:pStyle w:val="CUERPO1"/>
        <w:spacing w:after="0" w:line="276" w:lineRule="auto"/>
        <w:jc w:val="center"/>
        <w:rPr>
          <w:b/>
          <w:szCs w:val="22"/>
          <w:lang w:val="es-MX"/>
        </w:rPr>
      </w:pPr>
    </w:p>
    <w:p w:rsidR="00A31C1B" w:rsidRDefault="000845DA" w:rsidP="002408D4">
      <w:pPr>
        <w:pStyle w:val="CUERPO1"/>
        <w:spacing w:line="276" w:lineRule="auto"/>
        <w:rPr>
          <w:color w:val="000000"/>
          <w:sz w:val="22"/>
          <w:szCs w:val="22"/>
          <w:shd w:val="clear" w:color="auto" w:fill="FFFFFF"/>
        </w:rPr>
      </w:pPr>
      <w:r w:rsidRPr="000845DA">
        <w:rPr>
          <w:sz w:val="22"/>
          <w:szCs w:val="22"/>
          <w:lang w:val="es-MX"/>
        </w:rPr>
        <w:t xml:space="preserve">Teniendo en cuenta </w:t>
      </w:r>
      <w:r w:rsidRPr="000845DA">
        <w:rPr>
          <w:color w:val="000000"/>
          <w:sz w:val="22"/>
          <w:szCs w:val="22"/>
          <w:shd w:val="clear" w:color="auto" w:fill="FFFFFF"/>
        </w:rPr>
        <w:t xml:space="preserve">los actos administrativos mediante los cuales se efectuaron distribuciones y/o traslados de apropiaciones en los rubros, a </w:t>
      </w:r>
      <w:r w:rsidR="004F5FC0" w:rsidRPr="000845DA">
        <w:rPr>
          <w:color w:val="000000"/>
          <w:sz w:val="22"/>
          <w:szCs w:val="22"/>
          <w:shd w:val="clear" w:color="auto" w:fill="FFFFFF"/>
        </w:rPr>
        <w:t>continuación,</w:t>
      </w:r>
      <w:r w:rsidRPr="000845DA">
        <w:rPr>
          <w:color w:val="000000"/>
          <w:sz w:val="22"/>
          <w:szCs w:val="22"/>
          <w:shd w:val="clear" w:color="auto" w:fill="FFFFFF"/>
        </w:rPr>
        <w:t xml:space="preserve"> se presen</w:t>
      </w:r>
      <w:r w:rsidR="00851C37">
        <w:rPr>
          <w:color w:val="000000"/>
          <w:sz w:val="22"/>
          <w:szCs w:val="22"/>
          <w:shd w:val="clear" w:color="auto" w:fill="FFFFFF"/>
        </w:rPr>
        <w:t xml:space="preserve">ta la información con corte a </w:t>
      </w:r>
      <w:r w:rsidR="00807F54">
        <w:rPr>
          <w:color w:val="000000"/>
          <w:sz w:val="22"/>
          <w:szCs w:val="22"/>
          <w:shd w:val="clear" w:color="auto" w:fill="FFFFFF"/>
        </w:rPr>
        <w:t>31 de diciembre</w:t>
      </w:r>
      <w:r w:rsidR="00563BEB">
        <w:rPr>
          <w:color w:val="000000"/>
          <w:sz w:val="22"/>
          <w:szCs w:val="22"/>
          <w:shd w:val="clear" w:color="auto" w:fill="FFFFFF"/>
        </w:rPr>
        <w:t xml:space="preserve"> de 201</w:t>
      </w:r>
      <w:r w:rsidR="00646BCE">
        <w:rPr>
          <w:color w:val="000000"/>
          <w:sz w:val="22"/>
          <w:szCs w:val="22"/>
          <w:shd w:val="clear" w:color="auto" w:fill="FFFFFF"/>
        </w:rPr>
        <w:t>9</w:t>
      </w:r>
      <w:r w:rsidR="00563BEB">
        <w:rPr>
          <w:color w:val="000000"/>
          <w:sz w:val="22"/>
          <w:szCs w:val="22"/>
          <w:shd w:val="clear" w:color="auto" w:fill="FFFFFF"/>
        </w:rPr>
        <w:t xml:space="preserve"> </w:t>
      </w:r>
      <w:r w:rsidR="00733FBC">
        <w:rPr>
          <w:color w:val="000000"/>
          <w:sz w:val="22"/>
          <w:szCs w:val="22"/>
          <w:shd w:val="clear" w:color="auto" w:fill="FFFFFF"/>
        </w:rPr>
        <w:t xml:space="preserve">desglosada en los rubros más significativos del presupuesto para </w:t>
      </w:r>
      <w:r w:rsidR="002408D4">
        <w:rPr>
          <w:color w:val="000000"/>
          <w:sz w:val="22"/>
          <w:szCs w:val="22"/>
          <w:shd w:val="clear" w:color="auto" w:fill="FFFFFF"/>
        </w:rPr>
        <w:t>la unidad ejecutora 01.</w:t>
      </w:r>
      <w:r w:rsidR="00A31C1B" w:rsidRPr="00A31C1B">
        <w:rPr>
          <w:color w:val="000000"/>
          <w:sz w:val="22"/>
          <w:szCs w:val="22"/>
          <w:shd w:val="clear" w:color="auto" w:fill="FFFFFF"/>
        </w:rPr>
        <w:t xml:space="preserve"> </w:t>
      </w:r>
    </w:p>
    <w:p w:rsidR="00A31C1B" w:rsidRDefault="00A31C1B" w:rsidP="002408D4">
      <w:pPr>
        <w:pStyle w:val="CUERPO1"/>
        <w:spacing w:line="276" w:lineRule="auto"/>
        <w:rPr>
          <w:color w:val="000000"/>
          <w:sz w:val="22"/>
          <w:szCs w:val="22"/>
          <w:shd w:val="clear" w:color="auto" w:fill="FFFFFF"/>
        </w:rPr>
      </w:pPr>
    </w:p>
    <w:p w:rsidR="00FF6998" w:rsidRPr="007266E5" w:rsidRDefault="00FF6998" w:rsidP="00FF6998">
      <w:pPr>
        <w:pStyle w:val="CUERPO1"/>
        <w:spacing w:after="0" w:line="276" w:lineRule="auto"/>
        <w:jc w:val="center"/>
        <w:rPr>
          <w:b/>
          <w:sz w:val="18"/>
          <w:szCs w:val="18"/>
          <w:lang w:val="es-MX"/>
        </w:rPr>
      </w:pPr>
      <w:r>
        <w:rPr>
          <w:b/>
          <w:sz w:val="18"/>
          <w:szCs w:val="18"/>
          <w:lang w:val="es-MX"/>
        </w:rPr>
        <w:t>CUADRO 3</w:t>
      </w:r>
    </w:p>
    <w:p w:rsidR="00A31C1B" w:rsidRDefault="00FF6998" w:rsidP="00FF6998">
      <w:pPr>
        <w:pStyle w:val="CUERPO1"/>
        <w:spacing w:line="276" w:lineRule="auto"/>
        <w:jc w:val="center"/>
        <w:rPr>
          <w:color w:val="000000"/>
          <w:sz w:val="22"/>
          <w:szCs w:val="22"/>
          <w:shd w:val="clear" w:color="auto" w:fill="FFFFFF"/>
        </w:rPr>
      </w:pPr>
      <w:r w:rsidRPr="007266E5">
        <w:rPr>
          <w:b/>
          <w:sz w:val="18"/>
          <w:szCs w:val="18"/>
          <w:lang w:val="es-MX"/>
        </w:rPr>
        <w:t>DISTRIBU</w:t>
      </w:r>
      <w:r>
        <w:rPr>
          <w:b/>
          <w:sz w:val="18"/>
          <w:szCs w:val="18"/>
          <w:lang w:val="es-MX"/>
        </w:rPr>
        <w:t>CIÓN DE PRESUPUESTO SERVICIOS PERSONALES Y GASTOS GENERALES</w:t>
      </w:r>
    </w:p>
    <w:tbl>
      <w:tblPr>
        <w:tblW w:w="9552" w:type="dxa"/>
        <w:tblInd w:w="-5" w:type="dxa"/>
        <w:tblCellMar>
          <w:left w:w="70" w:type="dxa"/>
          <w:right w:w="70" w:type="dxa"/>
        </w:tblCellMar>
        <w:tblLook w:val="04A0" w:firstRow="1" w:lastRow="0" w:firstColumn="1" w:lastColumn="0" w:noHBand="0" w:noVBand="1"/>
      </w:tblPr>
      <w:tblGrid>
        <w:gridCol w:w="1601"/>
        <w:gridCol w:w="2085"/>
        <w:gridCol w:w="1843"/>
        <w:gridCol w:w="1920"/>
        <w:gridCol w:w="2103"/>
      </w:tblGrid>
      <w:tr w:rsidR="00FF6998" w:rsidRPr="00FF6998" w:rsidTr="006C29FF">
        <w:trPr>
          <w:trHeight w:val="78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CODIGO PRESUPUESTAL</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FF6998" w:rsidP="00FF6998">
            <w:pPr>
              <w:spacing w:after="0" w:line="240" w:lineRule="auto"/>
              <w:jc w:val="center"/>
              <w:rPr>
                <w:rFonts w:ascii="Arial" w:hAnsi="Arial" w:cs="Arial"/>
                <w:b/>
                <w:bCs/>
                <w:sz w:val="18"/>
                <w:szCs w:val="16"/>
              </w:rPr>
            </w:pPr>
            <w:r w:rsidRPr="00FF6998">
              <w:rPr>
                <w:rFonts w:ascii="Arial" w:hAnsi="Arial" w:cs="Arial"/>
                <w:b/>
                <w:bCs/>
                <w:sz w:val="18"/>
                <w:szCs w:val="16"/>
              </w:rPr>
              <w:t>APROPIACION VIGENTE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6C29FF" w:rsidP="00FF6998">
            <w:pPr>
              <w:spacing w:after="0" w:line="240" w:lineRule="auto"/>
              <w:jc w:val="center"/>
              <w:rPr>
                <w:rFonts w:ascii="Arial" w:hAnsi="Arial" w:cs="Arial"/>
                <w:b/>
                <w:bCs/>
                <w:sz w:val="18"/>
                <w:szCs w:val="16"/>
              </w:rPr>
            </w:pPr>
            <w:r>
              <w:rPr>
                <w:rFonts w:ascii="Arial" w:hAnsi="Arial" w:cs="Arial"/>
                <w:b/>
                <w:bCs/>
                <w:sz w:val="18"/>
                <w:szCs w:val="16"/>
              </w:rPr>
              <w:t>TOTAL,</w:t>
            </w:r>
            <w:r w:rsidR="00403F74">
              <w:rPr>
                <w:rFonts w:ascii="Arial" w:hAnsi="Arial" w:cs="Arial"/>
                <w:b/>
                <w:bCs/>
                <w:sz w:val="18"/>
                <w:szCs w:val="16"/>
              </w:rPr>
              <w:t xml:space="preserve"> COMPROMISOS ACUMULADOS</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FF6998" w:rsidRPr="00FF6998" w:rsidRDefault="00403F74" w:rsidP="00FF6998">
            <w:pPr>
              <w:spacing w:after="0" w:line="240" w:lineRule="auto"/>
              <w:jc w:val="center"/>
              <w:rPr>
                <w:rFonts w:ascii="Arial" w:hAnsi="Arial" w:cs="Arial"/>
                <w:b/>
                <w:bCs/>
                <w:sz w:val="18"/>
                <w:szCs w:val="16"/>
              </w:rPr>
            </w:pPr>
            <w:r>
              <w:rPr>
                <w:rFonts w:ascii="Arial" w:hAnsi="Arial" w:cs="Arial"/>
                <w:b/>
                <w:bCs/>
                <w:sz w:val="18"/>
                <w:szCs w:val="16"/>
              </w:rPr>
              <w:t>EJECUCION PRESUPUESTAL</w:t>
            </w:r>
            <w:r w:rsidR="00FF6998" w:rsidRPr="00FF6998">
              <w:rPr>
                <w:rFonts w:ascii="Arial" w:hAnsi="Arial" w:cs="Arial"/>
                <w:b/>
                <w:bCs/>
                <w:sz w:val="18"/>
                <w:szCs w:val="16"/>
              </w:rPr>
              <w:t xml:space="preserve"> %</w:t>
            </w:r>
          </w:p>
        </w:tc>
      </w:tr>
      <w:tr w:rsidR="00FF6998" w:rsidRPr="00FF6998" w:rsidTr="00E10FFF">
        <w:trPr>
          <w:trHeight w:val="255"/>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3-1-1</w:t>
            </w:r>
          </w:p>
        </w:tc>
        <w:tc>
          <w:tcPr>
            <w:tcW w:w="2085" w:type="dxa"/>
            <w:tcBorders>
              <w:top w:val="nil"/>
              <w:left w:val="nil"/>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SERVICIOS PERSONALES</w:t>
            </w:r>
            <w:r w:rsidR="004F5FC0">
              <w:rPr>
                <w:rFonts w:ascii="Arial" w:hAnsi="Arial" w:cs="Arial"/>
                <w:sz w:val="18"/>
              </w:rPr>
              <w:t xml:space="preserve"> (GASTOS DE PERSONAL)</w:t>
            </w:r>
          </w:p>
        </w:tc>
        <w:tc>
          <w:tcPr>
            <w:tcW w:w="1843" w:type="dxa"/>
            <w:tcBorders>
              <w:top w:val="nil"/>
              <w:left w:val="nil"/>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12</w:t>
            </w:r>
            <w:r w:rsidR="004F5FC0">
              <w:rPr>
                <w:rFonts w:ascii="Arial" w:hAnsi="Arial" w:cs="Arial"/>
                <w:sz w:val="18"/>
              </w:rPr>
              <w:t>9.763.147.111</w:t>
            </w:r>
          </w:p>
        </w:tc>
        <w:tc>
          <w:tcPr>
            <w:tcW w:w="1920" w:type="dxa"/>
            <w:tcBorders>
              <w:top w:val="nil"/>
              <w:left w:val="nil"/>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12</w:t>
            </w:r>
            <w:r w:rsidR="004F5FC0">
              <w:rPr>
                <w:rFonts w:ascii="Arial" w:hAnsi="Arial" w:cs="Arial"/>
                <w:sz w:val="18"/>
              </w:rPr>
              <w:t>9.559.100.112</w:t>
            </w:r>
          </w:p>
        </w:tc>
        <w:tc>
          <w:tcPr>
            <w:tcW w:w="2103" w:type="dxa"/>
            <w:tcBorders>
              <w:top w:val="nil"/>
              <w:left w:val="nil"/>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jc w:val="right"/>
              <w:rPr>
                <w:rFonts w:ascii="Arial" w:hAnsi="Arial" w:cs="Arial"/>
                <w:sz w:val="18"/>
              </w:rPr>
            </w:pPr>
            <w:r w:rsidRPr="00FF6998">
              <w:rPr>
                <w:rFonts w:ascii="Arial" w:hAnsi="Arial" w:cs="Arial"/>
                <w:sz w:val="18"/>
              </w:rPr>
              <w:t>99.</w:t>
            </w:r>
            <w:r w:rsidR="006C29FF">
              <w:rPr>
                <w:rFonts w:ascii="Arial" w:hAnsi="Arial" w:cs="Arial"/>
                <w:sz w:val="18"/>
              </w:rPr>
              <w:t>84</w:t>
            </w:r>
          </w:p>
        </w:tc>
      </w:tr>
      <w:tr w:rsidR="00FF6998" w:rsidRPr="00FF6998" w:rsidTr="00E10FFF">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3-1-2</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FF6998" w:rsidRPr="00FF6998" w:rsidRDefault="00FF6998" w:rsidP="00FF6998">
            <w:pPr>
              <w:spacing w:after="0" w:line="240" w:lineRule="auto"/>
              <w:rPr>
                <w:rFonts w:ascii="Arial" w:hAnsi="Arial" w:cs="Arial"/>
                <w:sz w:val="18"/>
              </w:rPr>
            </w:pPr>
            <w:r w:rsidRPr="00FF6998">
              <w:rPr>
                <w:rFonts w:ascii="Arial" w:hAnsi="Arial" w:cs="Arial"/>
                <w:sz w:val="18"/>
              </w:rPr>
              <w:t>GASTOS GENERALES</w:t>
            </w:r>
            <w:r w:rsidR="004F5FC0">
              <w:rPr>
                <w:rFonts w:ascii="Arial" w:hAnsi="Arial" w:cs="Arial"/>
                <w:sz w:val="18"/>
              </w:rPr>
              <w:t xml:space="preserve"> (ADQUISICION DE BIENES Y SERVICIOS)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6998" w:rsidRPr="00FF6998" w:rsidRDefault="004F5FC0" w:rsidP="00FF6998">
            <w:pPr>
              <w:spacing w:after="0" w:line="240" w:lineRule="auto"/>
              <w:jc w:val="right"/>
              <w:rPr>
                <w:rFonts w:ascii="Arial" w:hAnsi="Arial" w:cs="Arial"/>
                <w:sz w:val="18"/>
              </w:rPr>
            </w:pPr>
            <w:r>
              <w:rPr>
                <w:rFonts w:ascii="Arial" w:hAnsi="Arial" w:cs="Arial"/>
                <w:sz w:val="18"/>
              </w:rPr>
              <w:t>11.170.705.000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F6998" w:rsidRPr="00FF6998" w:rsidRDefault="006C29FF" w:rsidP="00FF6998">
            <w:pPr>
              <w:spacing w:after="0" w:line="240" w:lineRule="auto"/>
              <w:jc w:val="right"/>
              <w:rPr>
                <w:rFonts w:ascii="Arial" w:hAnsi="Arial" w:cs="Arial"/>
                <w:sz w:val="18"/>
              </w:rPr>
            </w:pPr>
            <w:r>
              <w:rPr>
                <w:rFonts w:ascii="Arial" w:hAnsi="Arial" w:cs="Arial"/>
                <w:sz w:val="18"/>
              </w:rPr>
              <w:t>10.022.763.617</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FF6998" w:rsidRPr="00FF6998" w:rsidRDefault="006C29FF" w:rsidP="00FF6998">
            <w:pPr>
              <w:spacing w:after="0" w:line="240" w:lineRule="auto"/>
              <w:jc w:val="right"/>
              <w:rPr>
                <w:rFonts w:ascii="Arial" w:hAnsi="Arial" w:cs="Arial"/>
                <w:sz w:val="18"/>
              </w:rPr>
            </w:pPr>
            <w:r>
              <w:rPr>
                <w:rFonts w:ascii="Arial" w:hAnsi="Arial" w:cs="Arial"/>
                <w:sz w:val="18"/>
              </w:rPr>
              <w:t>89.72</w:t>
            </w:r>
          </w:p>
        </w:tc>
      </w:tr>
      <w:tr w:rsidR="00E10FFF" w:rsidRPr="00FF6998" w:rsidTr="00E10FFF">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FF" w:rsidRPr="00FF6998" w:rsidRDefault="00E31B73" w:rsidP="00FF6998">
            <w:pPr>
              <w:spacing w:after="0" w:line="240" w:lineRule="auto"/>
              <w:rPr>
                <w:rFonts w:ascii="Arial" w:hAnsi="Arial" w:cs="Arial"/>
                <w:sz w:val="18"/>
              </w:rPr>
            </w:pPr>
            <w:r>
              <w:rPr>
                <w:rFonts w:ascii="Arial" w:hAnsi="Arial" w:cs="Arial"/>
                <w:sz w:val="18"/>
              </w:rPr>
              <w:t>3-1-3</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E10FFF" w:rsidRPr="00FF6998" w:rsidRDefault="00E31B73" w:rsidP="00FF6998">
            <w:pPr>
              <w:spacing w:after="0" w:line="240" w:lineRule="auto"/>
              <w:rPr>
                <w:rFonts w:ascii="Arial" w:hAnsi="Arial" w:cs="Arial"/>
                <w:sz w:val="18"/>
              </w:rPr>
            </w:pPr>
            <w:r>
              <w:rPr>
                <w:rFonts w:ascii="Arial" w:hAnsi="Arial" w:cs="Arial"/>
                <w:sz w:val="18"/>
              </w:rPr>
              <w:t>GASTOS DIVERSOS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10FFF" w:rsidRDefault="00E31B73" w:rsidP="00FF6998">
            <w:pPr>
              <w:spacing w:after="0" w:line="240" w:lineRule="auto"/>
              <w:jc w:val="right"/>
              <w:rPr>
                <w:rFonts w:ascii="Arial" w:hAnsi="Arial" w:cs="Arial"/>
                <w:sz w:val="18"/>
              </w:rPr>
            </w:pPr>
            <w:r>
              <w:rPr>
                <w:rFonts w:ascii="Arial" w:hAnsi="Arial" w:cs="Arial"/>
                <w:sz w:val="18"/>
              </w:rPr>
              <w:t>64.500.000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10FFF" w:rsidRDefault="00E31B73" w:rsidP="00FF6998">
            <w:pPr>
              <w:spacing w:after="0" w:line="240" w:lineRule="auto"/>
              <w:jc w:val="right"/>
              <w:rPr>
                <w:rFonts w:ascii="Arial" w:hAnsi="Arial" w:cs="Arial"/>
                <w:sz w:val="18"/>
              </w:rPr>
            </w:pPr>
            <w:r>
              <w:rPr>
                <w:rFonts w:ascii="Arial" w:hAnsi="Arial" w:cs="Arial"/>
                <w:sz w:val="18"/>
              </w:rPr>
              <w:t>44.559.000</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E10FFF" w:rsidRDefault="00E31B73" w:rsidP="00FF6998">
            <w:pPr>
              <w:spacing w:after="0" w:line="240" w:lineRule="auto"/>
              <w:jc w:val="right"/>
              <w:rPr>
                <w:rFonts w:ascii="Arial" w:hAnsi="Arial" w:cs="Arial"/>
                <w:sz w:val="18"/>
              </w:rPr>
            </w:pPr>
            <w:r>
              <w:rPr>
                <w:rFonts w:ascii="Arial" w:hAnsi="Arial" w:cs="Arial"/>
                <w:sz w:val="18"/>
              </w:rPr>
              <w:t>69.08</w:t>
            </w:r>
          </w:p>
        </w:tc>
      </w:tr>
      <w:tr w:rsidR="00E10FFF" w:rsidRPr="00FF6998" w:rsidTr="00E10FFF">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FFF" w:rsidRPr="00FF6998" w:rsidRDefault="00E31B73" w:rsidP="00FF6998">
            <w:pPr>
              <w:spacing w:after="0" w:line="240" w:lineRule="auto"/>
              <w:rPr>
                <w:rFonts w:ascii="Arial" w:hAnsi="Arial" w:cs="Arial"/>
                <w:sz w:val="18"/>
              </w:rPr>
            </w:pPr>
            <w:r>
              <w:rPr>
                <w:rFonts w:ascii="Arial" w:hAnsi="Arial" w:cs="Arial"/>
                <w:sz w:val="18"/>
              </w:rPr>
              <w:t>3-1-5</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E10FFF" w:rsidRPr="00FF6998" w:rsidRDefault="00E31B73" w:rsidP="00FF6998">
            <w:pPr>
              <w:spacing w:after="0" w:line="240" w:lineRule="auto"/>
              <w:rPr>
                <w:rFonts w:ascii="Arial" w:hAnsi="Arial" w:cs="Arial"/>
                <w:sz w:val="18"/>
              </w:rPr>
            </w:pPr>
            <w:r>
              <w:rPr>
                <w:rFonts w:ascii="Arial" w:hAnsi="Arial" w:cs="Arial"/>
                <w:sz w:val="18"/>
              </w:rPr>
              <w:t>TRANSFERENCIAS CORRIENTES DE FUNCIONAMIENTO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10FFF" w:rsidRDefault="00457600" w:rsidP="00FF6998">
            <w:pPr>
              <w:spacing w:after="0" w:line="240" w:lineRule="auto"/>
              <w:jc w:val="right"/>
              <w:rPr>
                <w:rFonts w:ascii="Arial" w:hAnsi="Arial" w:cs="Arial"/>
                <w:sz w:val="18"/>
              </w:rPr>
            </w:pPr>
            <w:r>
              <w:rPr>
                <w:rFonts w:ascii="Arial" w:hAnsi="Arial" w:cs="Arial"/>
                <w:sz w:val="18"/>
              </w:rPr>
              <w:t>3.565.716.483</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10FFF" w:rsidRDefault="00457600" w:rsidP="00FF6998">
            <w:pPr>
              <w:spacing w:after="0" w:line="240" w:lineRule="auto"/>
              <w:jc w:val="right"/>
              <w:rPr>
                <w:rFonts w:ascii="Arial" w:hAnsi="Arial" w:cs="Arial"/>
                <w:sz w:val="18"/>
              </w:rPr>
            </w:pPr>
            <w:r>
              <w:rPr>
                <w:rFonts w:ascii="Arial" w:hAnsi="Arial" w:cs="Arial"/>
                <w:sz w:val="18"/>
              </w:rPr>
              <w:t>3.561.315.849</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E10FFF" w:rsidRDefault="00457600" w:rsidP="00FF6998">
            <w:pPr>
              <w:spacing w:after="0" w:line="240" w:lineRule="auto"/>
              <w:jc w:val="right"/>
              <w:rPr>
                <w:rFonts w:ascii="Arial" w:hAnsi="Arial" w:cs="Arial"/>
                <w:sz w:val="18"/>
              </w:rPr>
            </w:pPr>
            <w:r>
              <w:rPr>
                <w:rFonts w:ascii="Arial" w:hAnsi="Arial" w:cs="Arial"/>
                <w:sz w:val="18"/>
              </w:rPr>
              <w:t>99.88</w:t>
            </w:r>
          </w:p>
        </w:tc>
      </w:tr>
    </w:tbl>
    <w:p w:rsidR="00840874" w:rsidRDefault="00840874" w:rsidP="002408D4">
      <w:pPr>
        <w:pStyle w:val="CUERPO1"/>
        <w:spacing w:line="276" w:lineRule="auto"/>
        <w:rPr>
          <w:color w:val="000000"/>
          <w:sz w:val="22"/>
          <w:szCs w:val="22"/>
          <w:shd w:val="clear" w:color="auto" w:fill="FFFFFF"/>
        </w:rPr>
      </w:pPr>
    </w:p>
    <w:p w:rsidR="00C84850" w:rsidRDefault="00C84850" w:rsidP="002408D4">
      <w:pPr>
        <w:pStyle w:val="CUERPO1"/>
        <w:spacing w:after="0" w:line="276" w:lineRule="auto"/>
        <w:rPr>
          <w:sz w:val="22"/>
          <w:szCs w:val="22"/>
          <w:lang w:val="es-MX"/>
        </w:rPr>
      </w:pPr>
    </w:p>
    <w:p w:rsidR="00100E46" w:rsidRDefault="00100E46" w:rsidP="002408D4">
      <w:pPr>
        <w:pStyle w:val="CUERPO1"/>
        <w:spacing w:after="0" w:line="276" w:lineRule="auto"/>
        <w:rPr>
          <w:sz w:val="22"/>
          <w:szCs w:val="22"/>
          <w:lang w:val="es-MX"/>
        </w:rPr>
      </w:pPr>
      <w:r>
        <w:rPr>
          <w:sz w:val="22"/>
          <w:szCs w:val="22"/>
          <w:lang w:val="es-MX"/>
        </w:rPr>
        <w:t>Del rubro de servicios personales se destacan:</w:t>
      </w:r>
    </w:p>
    <w:p w:rsidR="00B811C7" w:rsidRDefault="00B811C7" w:rsidP="002408D4">
      <w:pPr>
        <w:pStyle w:val="CUERPO1"/>
        <w:spacing w:after="0" w:line="276" w:lineRule="auto"/>
        <w:rPr>
          <w:sz w:val="22"/>
          <w:szCs w:val="22"/>
          <w:lang w:val="es-MX"/>
        </w:rPr>
      </w:pPr>
    </w:p>
    <w:p w:rsidR="00167ED7" w:rsidRDefault="00100E46" w:rsidP="00B0742A">
      <w:pPr>
        <w:pStyle w:val="CUERPO1"/>
        <w:numPr>
          <w:ilvl w:val="0"/>
          <w:numId w:val="13"/>
        </w:numPr>
        <w:spacing w:after="0" w:line="276" w:lineRule="auto"/>
        <w:rPr>
          <w:sz w:val="22"/>
          <w:szCs w:val="22"/>
          <w:lang w:val="es-MX"/>
        </w:rPr>
      </w:pPr>
      <w:r w:rsidRPr="001D43D7">
        <w:rPr>
          <w:b/>
          <w:sz w:val="22"/>
          <w:szCs w:val="22"/>
          <w:lang w:val="es-MX"/>
        </w:rPr>
        <w:t>Sueldo</w:t>
      </w:r>
      <w:r w:rsidR="00343D79" w:rsidRPr="001D43D7">
        <w:rPr>
          <w:b/>
          <w:sz w:val="22"/>
          <w:szCs w:val="22"/>
          <w:lang w:val="es-MX"/>
        </w:rPr>
        <w:t>s</w:t>
      </w:r>
      <w:r w:rsidRPr="001D43D7">
        <w:rPr>
          <w:b/>
          <w:sz w:val="22"/>
          <w:szCs w:val="22"/>
          <w:lang w:val="es-MX"/>
        </w:rPr>
        <w:t xml:space="preserve"> personal </w:t>
      </w:r>
      <w:r w:rsidR="00343D79" w:rsidRPr="001D43D7">
        <w:rPr>
          <w:b/>
          <w:sz w:val="22"/>
          <w:szCs w:val="22"/>
          <w:lang w:val="es-MX"/>
        </w:rPr>
        <w:t>de</w:t>
      </w:r>
      <w:r w:rsidRPr="001D43D7">
        <w:rPr>
          <w:b/>
          <w:sz w:val="22"/>
          <w:szCs w:val="22"/>
          <w:lang w:val="es-MX"/>
        </w:rPr>
        <w:t xml:space="preserve"> nómina</w:t>
      </w:r>
      <w:r w:rsidR="00962F50" w:rsidRPr="001D43D7">
        <w:rPr>
          <w:b/>
          <w:sz w:val="22"/>
          <w:szCs w:val="22"/>
          <w:lang w:val="es-MX"/>
        </w:rPr>
        <w:t xml:space="preserve"> ( Factores constitutivos de salario)</w:t>
      </w:r>
      <w:r w:rsidR="008D3B98" w:rsidRPr="001D43D7">
        <w:rPr>
          <w:sz w:val="22"/>
          <w:szCs w:val="22"/>
          <w:lang w:val="es-MX"/>
        </w:rPr>
        <w:t xml:space="preserve">: </w:t>
      </w:r>
      <w:r w:rsidR="0031610B" w:rsidRPr="001D43D7">
        <w:rPr>
          <w:sz w:val="22"/>
          <w:szCs w:val="22"/>
          <w:lang w:val="es-MX"/>
        </w:rPr>
        <w:t>a 31 de diciembre cuenta con un presupuesto asignado de $</w:t>
      </w:r>
      <w:r w:rsidR="00962F50" w:rsidRPr="001D43D7">
        <w:rPr>
          <w:sz w:val="22"/>
          <w:szCs w:val="22"/>
          <w:lang w:val="es-MX"/>
        </w:rPr>
        <w:t>95.036.449.111</w:t>
      </w:r>
      <w:r w:rsidR="0031610B" w:rsidRPr="001D43D7">
        <w:rPr>
          <w:sz w:val="22"/>
          <w:szCs w:val="22"/>
          <w:lang w:val="es-MX"/>
        </w:rPr>
        <w:t xml:space="preserve"> y se </w:t>
      </w:r>
      <w:r w:rsidR="00085D60" w:rsidRPr="001D43D7">
        <w:rPr>
          <w:sz w:val="22"/>
          <w:szCs w:val="22"/>
          <w:lang w:val="es-MX"/>
        </w:rPr>
        <w:t>ejecut</w:t>
      </w:r>
      <w:r w:rsidR="0031610B" w:rsidRPr="001D43D7">
        <w:rPr>
          <w:sz w:val="22"/>
          <w:szCs w:val="22"/>
          <w:lang w:val="es-MX"/>
        </w:rPr>
        <w:t>ó</w:t>
      </w:r>
      <w:r w:rsidR="00085D60" w:rsidRPr="001D43D7">
        <w:rPr>
          <w:sz w:val="22"/>
          <w:szCs w:val="22"/>
          <w:lang w:val="es-MX"/>
        </w:rPr>
        <w:t xml:space="preserve"> </w:t>
      </w:r>
      <w:r w:rsidR="00962F50" w:rsidRPr="001D43D7">
        <w:rPr>
          <w:sz w:val="22"/>
          <w:szCs w:val="22"/>
          <w:lang w:val="es-MX"/>
        </w:rPr>
        <w:t>de</w:t>
      </w:r>
      <w:r w:rsidR="00085D60" w:rsidRPr="001D43D7">
        <w:rPr>
          <w:sz w:val="22"/>
          <w:szCs w:val="22"/>
          <w:lang w:val="es-MX"/>
        </w:rPr>
        <w:t xml:space="preserve"> siguiente</w:t>
      </w:r>
      <w:r w:rsidR="00962F50" w:rsidRPr="001D43D7">
        <w:rPr>
          <w:sz w:val="22"/>
          <w:szCs w:val="22"/>
          <w:lang w:val="es-MX"/>
        </w:rPr>
        <w:t xml:space="preserve"> manera</w:t>
      </w:r>
      <w:r w:rsidR="00085D60" w:rsidRPr="001D43D7">
        <w:rPr>
          <w:sz w:val="22"/>
          <w:szCs w:val="22"/>
          <w:lang w:val="es-MX"/>
        </w:rPr>
        <w:t>:</w:t>
      </w:r>
      <w:r w:rsidR="00962F50" w:rsidRPr="001D43D7">
        <w:rPr>
          <w:sz w:val="22"/>
          <w:szCs w:val="22"/>
          <w:lang w:val="es-MX"/>
        </w:rPr>
        <w:t xml:space="preserve"> sueldo básico ($49.388.503.917); </w:t>
      </w:r>
      <w:r w:rsidR="003F1201" w:rsidRPr="001D43D7">
        <w:rPr>
          <w:sz w:val="22"/>
          <w:szCs w:val="22"/>
          <w:lang w:val="es-MX"/>
        </w:rPr>
        <w:t xml:space="preserve">auxilio de maternidad y paternidad ($146.470.698); auxilio de incapacidad ($14.218.710); </w:t>
      </w:r>
      <w:r w:rsidR="00510A72" w:rsidRPr="001D43D7">
        <w:rPr>
          <w:sz w:val="22"/>
          <w:szCs w:val="22"/>
          <w:lang w:val="es-MX"/>
        </w:rPr>
        <w:t>gastos de representaci</w:t>
      </w:r>
      <w:r w:rsidR="00807F54" w:rsidRPr="001D43D7">
        <w:rPr>
          <w:sz w:val="22"/>
          <w:szCs w:val="22"/>
          <w:lang w:val="es-MX"/>
        </w:rPr>
        <w:t>ón ($</w:t>
      </w:r>
      <w:r w:rsidR="003F1201" w:rsidRPr="001D43D7">
        <w:rPr>
          <w:sz w:val="22"/>
          <w:szCs w:val="22"/>
          <w:lang w:val="es-MX"/>
        </w:rPr>
        <w:t>4.530.781.607</w:t>
      </w:r>
      <w:r w:rsidR="00510A72" w:rsidRPr="001D43D7">
        <w:rPr>
          <w:sz w:val="22"/>
          <w:szCs w:val="22"/>
          <w:lang w:val="es-MX"/>
        </w:rPr>
        <w:t>); Horas Extras, Dominicales, Festivos, Recargo Nocturno y Trabajo Suplementario</w:t>
      </w:r>
      <w:r w:rsidR="00807F54" w:rsidRPr="001D43D7">
        <w:rPr>
          <w:sz w:val="22"/>
          <w:szCs w:val="22"/>
          <w:lang w:val="es-MX"/>
        </w:rPr>
        <w:t xml:space="preserve"> ($</w:t>
      </w:r>
      <w:r w:rsidR="003F1201" w:rsidRPr="001D43D7">
        <w:rPr>
          <w:sz w:val="22"/>
          <w:szCs w:val="22"/>
          <w:lang w:val="es-MX"/>
        </w:rPr>
        <w:t>406.615.740</w:t>
      </w:r>
      <w:r w:rsidR="00F82C97" w:rsidRPr="001D43D7">
        <w:rPr>
          <w:sz w:val="22"/>
          <w:szCs w:val="22"/>
          <w:lang w:val="es-MX"/>
        </w:rPr>
        <w:t>); Auxilio de Transporte ($</w:t>
      </w:r>
      <w:r w:rsidR="003F1201" w:rsidRPr="001D43D7">
        <w:rPr>
          <w:sz w:val="22"/>
          <w:szCs w:val="22"/>
          <w:lang w:val="es-MX"/>
        </w:rPr>
        <w:t>96.844.407</w:t>
      </w:r>
      <w:r w:rsidR="00F82C97" w:rsidRPr="001D43D7">
        <w:rPr>
          <w:sz w:val="22"/>
          <w:szCs w:val="22"/>
          <w:lang w:val="es-MX"/>
        </w:rPr>
        <w:t>); Subsidio de Alimentación ($</w:t>
      </w:r>
      <w:r w:rsidR="00807F54" w:rsidRPr="001D43D7">
        <w:rPr>
          <w:sz w:val="22"/>
          <w:szCs w:val="22"/>
          <w:lang w:val="es-MX"/>
        </w:rPr>
        <w:t>6</w:t>
      </w:r>
      <w:r w:rsidR="003F1201" w:rsidRPr="001D43D7">
        <w:rPr>
          <w:sz w:val="22"/>
          <w:szCs w:val="22"/>
          <w:lang w:val="es-MX"/>
        </w:rPr>
        <w:t>3.261.686</w:t>
      </w:r>
      <w:r w:rsidR="00807F54" w:rsidRPr="001D43D7">
        <w:rPr>
          <w:sz w:val="22"/>
          <w:szCs w:val="22"/>
          <w:lang w:val="es-MX"/>
        </w:rPr>
        <w:t>)</w:t>
      </w:r>
      <w:r w:rsidR="00F82C97" w:rsidRPr="001D43D7">
        <w:rPr>
          <w:sz w:val="22"/>
          <w:szCs w:val="22"/>
          <w:lang w:val="es-MX"/>
        </w:rPr>
        <w:t>; Bonificación por Servicios Prestados ($1</w:t>
      </w:r>
      <w:r w:rsidR="000C631B" w:rsidRPr="001D43D7">
        <w:rPr>
          <w:sz w:val="22"/>
          <w:szCs w:val="22"/>
          <w:lang w:val="es-MX"/>
        </w:rPr>
        <w:t>.</w:t>
      </w:r>
      <w:r w:rsidR="003F1201" w:rsidRPr="001D43D7">
        <w:rPr>
          <w:sz w:val="22"/>
          <w:szCs w:val="22"/>
          <w:lang w:val="es-MX"/>
        </w:rPr>
        <w:t>559.036.408</w:t>
      </w:r>
      <w:r w:rsidR="00F82C97" w:rsidRPr="001D43D7">
        <w:rPr>
          <w:sz w:val="22"/>
          <w:szCs w:val="22"/>
          <w:lang w:val="es-MX"/>
        </w:rPr>
        <w:t xml:space="preserve">); Prima </w:t>
      </w:r>
      <w:r w:rsidR="003F1201" w:rsidRPr="001D43D7">
        <w:rPr>
          <w:sz w:val="22"/>
          <w:szCs w:val="22"/>
          <w:lang w:val="es-MX"/>
        </w:rPr>
        <w:t>de Navidad</w:t>
      </w:r>
      <w:r w:rsidR="00F82C97" w:rsidRPr="001D43D7">
        <w:rPr>
          <w:sz w:val="22"/>
          <w:szCs w:val="22"/>
          <w:lang w:val="es-MX"/>
        </w:rPr>
        <w:t xml:space="preserve"> ($</w:t>
      </w:r>
      <w:r w:rsidR="003F1201" w:rsidRPr="001D43D7">
        <w:rPr>
          <w:sz w:val="22"/>
          <w:szCs w:val="22"/>
          <w:lang w:val="es-MX"/>
        </w:rPr>
        <w:t>7.260.278.288</w:t>
      </w:r>
      <w:r w:rsidR="00F82C97" w:rsidRPr="001D43D7">
        <w:rPr>
          <w:sz w:val="22"/>
          <w:szCs w:val="22"/>
          <w:lang w:val="es-MX"/>
        </w:rPr>
        <w:t xml:space="preserve">); Prima de </w:t>
      </w:r>
      <w:r w:rsidR="003F1201" w:rsidRPr="001D43D7">
        <w:rPr>
          <w:sz w:val="22"/>
          <w:szCs w:val="22"/>
          <w:lang w:val="es-MX"/>
        </w:rPr>
        <w:t>Vacaciones</w:t>
      </w:r>
      <w:r w:rsidR="00F82C97" w:rsidRPr="001D43D7">
        <w:rPr>
          <w:sz w:val="22"/>
          <w:szCs w:val="22"/>
          <w:lang w:val="es-MX"/>
        </w:rPr>
        <w:t xml:space="preserve"> ($</w:t>
      </w:r>
      <w:r w:rsidR="003F1201" w:rsidRPr="001D43D7">
        <w:rPr>
          <w:sz w:val="22"/>
          <w:szCs w:val="22"/>
          <w:lang w:val="es-MX"/>
        </w:rPr>
        <w:t>3.383.138.339</w:t>
      </w:r>
      <w:r w:rsidR="00F82C97" w:rsidRPr="001D43D7">
        <w:rPr>
          <w:sz w:val="22"/>
          <w:szCs w:val="22"/>
          <w:lang w:val="es-MX"/>
        </w:rPr>
        <w:t xml:space="preserve">); Prima de </w:t>
      </w:r>
      <w:r w:rsidR="003F1201" w:rsidRPr="001D43D7">
        <w:rPr>
          <w:sz w:val="22"/>
          <w:szCs w:val="22"/>
          <w:lang w:val="es-MX"/>
        </w:rPr>
        <w:t>Antiguedad</w:t>
      </w:r>
      <w:r w:rsidR="000512A6" w:rsidRPr="001D43D7">
        <w:rPr>
          <w:sz w:val="22"/>
          <w:szCs w:val="22"/>
          <w:lang w:val="es-MX"/>
        </w:rPr>
        <w:t xml:space="preserve"> </w:t>
      </w:r>
      <w:r w:rsidR="00FB7CDA" w:rsidRPr="001D43D7">
        <w:rPr>
          <w:sz w:val="22"/>
          <w:szCs w:val="22"/>
          <w:lang w:val="es-MX"/>
        </w:rPr>
        <w:t>(</w:t>
      </w:r>
      <w:r w:rsidR="00085D60" w:rsidRPr="001D43D7">
        <w:rPr>
          <w:sz w:val="22"/>
          <w:szCs w:val="22"/>
          <w:lang w:val="es-MX"/>
        </w:rPr>
        <w:t>$</w:t>
      </w:r>
      <w:r w:rsidR="003F1201" w:rsidRPr="001D43D7">
        <w:rPr>
          <w:sz w:val="22"/>
          <w:szCs w:val="22"/>
          <w:lang w:val="es-MX"/>
        </w:rPr>
        <w:t>1.513.276.962</w:t>
      </w:r>
      <w:r w:rsidR="00F82C97" w:rsidRPr="001D43D7">
        <w:rPr>
          <w:sz w:val="22"/>
          <w:szCs w:val="22"/>
          <w:lang w:val="es-MX"/>
        </w:rPr>
        <w:t>); Prima Técnica ($1</w:t>
      </w:r>
      <w:r w:rsidR="001D43D7" w:rsidRPr="001D43D7">
        <w:rPr>
          <w:sz w:val="22"/>
          <w:szCs w:val="22"/>
          <w:lang w:val="es-MX"/>
        </w:rPr>
        <w:t>8.775.309.832</w:t>
      </w:r>
      <w:r w:rsidR="00DB49EC" w:rsidRPr="001D43D7">
        <w:rPr>
          <w:sz w:val="22"/>
          <w:szCs w:val="22"/>
          <w:lang w:val="es-MX"/>
        </w:rPr>
        <w:t>)</w:t>
      </w:r>
      <w:r w:rsidR="00F82C97" w:rsidRPr="001D43D7">
        <w:rPr>
          <w:sz w:val="22"/>
          <w:szCs w:val="22"/>
          <w:lang w:val="es-MX"/>
        </w:rPr>
        <w:t xml:space="preserve">; Prima </w:t>
      </w:r>
      <w:r w:rsidR="001D43D7" w:rsidRPr="001D43D7">
        <w:rPr>
          <w:sz w:val="22"/>
          <w:szCs w:val="22"/>
          <w:lang w:val="es-MX"/>
        </w:rPr>
        <w:t>semestral</w:t>
      </w:r>
      <w:r w:rsidR="00F82C97" w:rsidRPr="001D43D7">
        <w:rPr>
          <w:sz w:val="22"/>
          <w:szCs w:val="22"/>
          <w:lang w:val="es-MX"/>
        </w:rPr>
        <w:t xml:space="preserve"> ($</w:t>
      </w:r>
      <w:r w:rsidR="001D43D7" w:rsidRPr="001D43D7">
        <w:rPr>
          <w:sz w:val="22"/>
          <w:szCs w:val="22"/>
          <w:lang w:val="es-MX"/>
        </w:rPr>
        <w:t>7.742.573.784</w:t>
      </w:r>
      <w:r w:rsidR="00F82C97" w:rsidRPr="001D43D7">
        <w:rPr>
          <w:sz w:val="22"/>
          <w:szCs w:val="22"/>
          <w:lang w:val="es-MX"/>
        </w:rPr>
        <w:t>)</w:t>
      </w:r>
      <w:r w:rsidR="00716681">
        <w:rPr>
          <w:sz w:val="22"/>
          <w:szCs w:val="22"/>
          <w:lang w:val="es-MX"/>
        </w:rPr>
        <w:t xml:space="preserve"> para un total de $ 94.880.310.378 que corresponde a un 99.84% de ejecución</w:t>
      </w:r>
    </w:p>
    <w:p w:rsidR="001D43D7" w:rsidRPr="001D43D7" w:rsidRDefault="001D43D7" w:rsidP="001D43D7">
      <w:pPr>
        <w:pStyle w:val="CUERPO1"/>
        <w:spacing w:after="0" w:line="276" w:lineRule="auto"/>
        <w:rPr>
          <w:sz w:val="22"/>
          <w:szCs w:val="22"/>
          <w:lang w:val="es-MX"/>
        </w:rPr>
      </w:pPr>
    </w:p>
    <w:p w:rsidR="0044561B" w:rsidRDefault="00100E46" w:rsidP="0044561B">
      <w:pPr>
        <w:pStyle w:val="CUERPO1"/>
        <w:numPr>
          <w:ilvl w:val="0"/>
          <w:numId w:val="13"/>
        </w:numPr>
        <w:spacing w:after="0" w:line="276" w:lineRule="auto"/>
        <w:rPr>
          <w:sz w:val="22"/>
          <w:szCs w:val="22"/>
          <w:lang w:val="es-MX"/>
        </w:rPr>
      </w:pPr>
      <w:r w:rsidRPr="00430EA8">
        <w:rPr>
          <w:b/>
          <w:sz w:val="22"/>
          <w:szCs w:val="22"/>
          <w:lang w:val="es-MX"/>
        </w:rPr>
        <w:lastRenderedPageBreak/>
        <w:t>Aportes patronales al sector privado y p</w:t>
      </w:r>
      <w:r w:rsidR="008D3B98" w:rsidRPr="00430EA8">
        <w:rPr>
          <w:b/>
          <w:sz w:val="22"/>
          <w:szCs w:val="22"/>
          <w:lang w:val="es-MX"/>
        </w:rPr>
        <w:t>úblico</w:t>
      </w:r>
      <w:r w:rsidR="00417562">
        <w:rPr>
          <w:b/>
          <w:sz w:val="22"/>
          <w:szCs w:val="22"/>
          <w:lang w:val="es-MX"/>
        </w:rPr>
        <w:t xml:space="preserve"> </w:t>
      </w:r>
      <w:r w:rsidR="000A5F37">
        <w:rPr>
          <w:b/>
          <w:sz w:val="22"/>
          <w:szCs w:val="22"/>
          <w:lang w:val="es-MX"/>
        </w:rPr>
        <w:t xml:space="preserve">(Contribuciones inherentes a la </w:t>
      </w:r>
      <w:r w:rsidR="00457600">
        <w:rPr>
          <w:b/>
          <w:sz w:val="22"/>
          <w:szCs w:val="22"/>
          <w:lang w:val="es-MX"/>
        </w:rPr>
        <w:t>nómina</w:t>
      </w:r>
      <w:r w:rsidR="00555A54">
        <w:rPr>
          <w:sz w:val="22"/>
          <w:szCs w:val="22"/>
          <w:lang w:val="es-MX"/>
        </w:rPr>
        <w:t xml:space="preserve">: </w:t>
      </w:r>
      <w:r w:rsidR="0044561B" w:rsidRPr="0031610B">
        <w:rPr>
          <w:sz w:val="22"/>
          <w:szCs w:val="22"/>
          <w:lang w:val="es-MX"/>
        </w:rPr>
        <w:t xml:space="preserve">a 31 de diciembre cuenta con un presupuesto asignado de </w:t>
      </w:r>
      <w:r w:rsidR="0044561B" w:rsidRPr="00430EA8">
        <w:rPr>
          <w:sz w:val="22"/>
          <w:szCs w:val="22"/>
          <w:lang w:val="es-MX"/>
        </w:rPr>
        <w:t>$</w:t>
      </w:r>
      <w:r w:rsidR="0044561B">
        <w:rPr>
          <w:sz w:val="22"/>
          <w:szCs w:val="22"/>
          <w:lang w:val="es-MX"/>
        </w:rPr>
        <w:t>3</w:t>
      </w:r>
      <w:r w:rsidR="000A5F37">
        <w:rPr>
          <w:sz w:val="22"/>
          <w:szCs w:val="22"/>
          <w:lang w:val="es-MX"/>
        </w:rPr>
        <w:t>2.712.096.000</w:t>
      </w:r>
      <w:r w:rsidR="0044561B" w:rsidRPr="00430EA8">
        <w:rPr>
          <w:sz w:val="22"/>
          <w:szCs w:val="22"/>
          <w:lang w:val="es-MX"/>
        </w:rPr>
        <w:t xml:space="preserve"> </w:t>
      </w:r>
      <w:r w:rsidR="0044561B" w:rsidRPr="0031610B">
        <w:rPr>
          <w:sz w:val="22"/>
          <w:szCs w:val="22"/>
          <w:lang w:val="es-MX"/>
        </w:rPr>
        <w:t>y se ejecut</w:t>
      </w:r>
      <w:r w:rsidR="0044561B">
        <w:rPr>
          <w:sz w:val="22"/>
          <w:szCs w:val="22"/>
          <w:lang w:val="es-MX"/>
        </w:rPr>
        <w:t>ó</w:t>
      </w:r>
      <w:r w:rsidR="0044561B" w:rsidRPr="0031610B">
        <w:rPr>
          <w:sz w:val="22"/>
          <w:szCs w:val="22"/>
          <w:lang w:val="es-MX"/>
        </w:rPr>
        <w:t xml:space="preserve"> lo </w:t>
      </w:r>
      <w:r w:rsidR="000A5F37" w:rsidRPr="0031610B">
        <w:rPr>
          <w:sz w:val="22"/>
          <w:szCs w:val="22"/>
          <w:lang w:val="es-MX"/>
        </w:rPr>
        <w:t>siguiente:</w:t>
      </w:r>
      <w:r w:rsidR="000A5F37">
        <w:rPr>
          <w:sz w:val="22"/>
          <w:szCs w:val="22"/>
          <w:lang w:val="es-MX"/>
        </w:rPr>
        <w:t xml:space="preserve"> Aportes a la seguridad social en pensiones públicas ($6.735.341</w:t>
      </w:r>
      <w:r w:rsidR="00716681">
        <w:rPr>
          <w:sz w:val="22"/>
          <w:szCs w:val="22"/>
          <w:lang w:val="es-MX"/>
        </w:rPr>
        <w:t>.</w:t>
      </w:r>
      <w:r w:rsidR="000A5F37">
        <w:rPr>
          <w:sz w:val="22"/>
          <w:szCs w:val="22"/>
          <w:lang w:val="es-MX"/>
        </w:rPr>
        <w:t>730</w:t>
      </w:r>
      <w:r w:rsidR="0044561B">
        <w:rPr>
          <w:sz w:val="22"/>
          <w:szCs w:val="22"/>
          <w:lang w:val="es-MX"/>
        </w:rPr>
        <w:t>),</w:t>
      </w:r>
      <w:r w:rsidR="000A5F37">
        <w:rPr>
          <w:sz w:val="22"/>
          <w:szCs w:val="22"/>
          <w:lang w:val="es-MX"/>
        </w:rPr>
        <w:t xml:space="preserve"> Aportes a la seguridad social en pensiones privadas ($2.433.008.802); Aportes a la seguridad social en salud </w:t>
      </w:r>
      <w:r w:rsidR="00FE223C">
        <w:rPr>
          <w:sz w:val="22"/>
          <w:szCs w:val="22"/>
          <w:lang w:val="es-MX"/>
        </w:rPr>
        <w:t>pública</w:t>
      </w:r>
      <w:r w:rsidR="000A5F37">
        <w:rPr>
          <w:sz w:val="22"/>
          <w:szCs w:val="22"/>
          <w:lang w:val="es-MX"/>
        </w:rPr>
        <w:t xml:space="preserve"> ($60.212.000); Aportes a la seguridad social en salud privada ($6.432.521.200); Aportes de cesantías a fondos públicos ($6.262.134.028); Aportes de cesantías a fondos privados ($2.541.516.893); Colsubsidio ($3.484.964.700); Aportes generales al sistema de riesgos laborales públicos ($371.941.300</w:t>
      </w:r>
      <w:r w:rsidR="00FE223C">
        <w:rPr>
          <w:sz w:val="22"/>
          <w:szCs w:val="22"/>
          <w:lang w:val="es-MX"/>
        </w:rPr>
        <w:t>); Aportes al ICBF de funcionarios ($2.613.837.100); Aportes al SENA de funcionarios ($436.107.000); Aportes a la ESAP de funcionarios ($436.113.600); Aportes a escuelas industriales e institutos técnicos de funcionarios ($871.717.600)</w:t>
      </w:r>
      <w:r w:rsidR="00716681">
        <w:rPr>
          <w:sz w:val="22"/>
          <w:szCs w:val="22"/>
          <w:lang w:val="es-MX"/>
        </w:rPr>
        <w:t>,</w:t>
      </w:r>
      <w:r w:rsidR="0044561B">
        <w:rPr>
          <w:sz w:val="22"/>
          <w:szCs w:val="22"/>
          <w:lang w:val="es-MX"/>
        </w:rPr>
        <w:t xml:space="preserve"> para un total de $</w:t>
      </w:r>
      <w:r w:rsidR="00716681">
        <w:rPr>
          <w:sz w:val="22"/>
          <w:szCs w:val="22"/>
          <w:lang w:val="es-MX"/>
        </w:rPr>
        <w:t>32.679.415.953</w:t>
      </w:r>
      <w:r w:rsidR="007D78CF">
        <w:rPr>
          <w:sz w:val="22"/>
          <w:szCs w:val="22"/>
          <w:lang w:val="es-MX"/>
        </w:rPr>
        <w:t xml:space="preserve"> </w:t>
      </w:r>
      <w:r w:rsidR="0044561B">
        <w:rPr>
          <w:sz w:val="22"/>
          <w:szCs w:val="22"/>
          <w:lang w:val="es-MX"/>
        </w:rPr>
        <w:t xml:space="preserve">que </w:t>
      </w:r>
      <w:r w:rsidR="00716681">
        <w:rPr>
          <w:sz w:val="22"/>
          <w:szCs w:val="22"/>
          <w:lang w:val="es-MX"/>
        </w:rPr>
        <w:t xml:space="preserve">corresponde </w:t>
      </w:r>
      <w:r w:rsidR="0044561B">
        <w:rPr>
          <w:sz w:val="22"/>
          <w:szCs w:val="22"/>
          <w:lang w:val="es-MX"/>
        </w:rPr>
        <w:t xml:space="preserve"> al </w:t>
      </w:r>
      <w:r w:rsidR="00716681">
        <w:rPr>
          <w:sz w:val="22"/>
          <w:szCs w:val="22"/>
          <w:lang w:val="es-MX"/>
        </w:rPr>
        <w:t>99.90</w:t>
      </w:r>
      <w:r w:rsidR="0044561B">
        <w:rPr>
          <w:sz w:val="22"/>
          <w:szCs w:val="22"/>
          <w:lang w:val="es-MX"/>
        </w:rPr>
        <w:t>%</w:t>
      </w:r>
      <w:r w:rsidR="00716681">
        <w:rPr>
          <w:sz w:val="22"/>
          <w:szCs w:val="22"/>
          <w:lang w:val="es-MX"/>
        </w:rPr>
        <w:t xml:space="preserve"> de ejecución</w:t>
      </w:r>
      <w:r w:rsidR="000C20FE">
        <w:rPr>
          <w:sz w:val="22"/>
          <w:szCs w:val="22"/>
          <w:lang w:val="es-MX"/>
        </w:rPr>
        <w:t>.</w:t>
      </w:r>
    </w:p>
    <w:p w:rsidR="00123F38" w:rsidRDefault="00123F38" w:rsidP="00123F38">
      <w:pPr>
        <w:pStyle w:val="Prrafodelista"/>
        <w:rPr>
          <w:sz w:val="22"/>
          <w:szCs w:val="22"/>
          <w:lang w:val="es-MX"/>
        </w:rPr>
      </w:pPr>
    </w:p>
    <w:p w:rsidR="00123F38" w:rsidRDefault="00D9090C" w:rsidP="00123F38">
      <w:pPr>
        <w:pStyle w:val="CUERPO1"/>
        <w:numPr>
          <w:ilvl w:val="0"/>
          <w:numId w:val="32"/>
        </w:numPr>
        <w:spacing w:after="0" w:line="276" w:lineRule="auto"/>
        <w:rPr>
          <w:sz w:val="22"/>
          <w:szCs w:val="22"/>
          <w:lang w:val="es-MX"/>
        </w:rPr>
      </w:pPr>
      <w:r>
        <w:rPr>
          <w:b/>
          <w:sz w:val="22"/>
          <w:szCs w:val="22"/>
          <w:lang w:val="es-MX"/>
        </w:rPr>
        <w:t xml:space="preserve">Remuneraciones no constitutivas de factor salarial: </w:t>
      </w:r>
      <w:r>
        <w:rPr>
          <w:sz w:val="22"/>
          <w:szCs w:val="22"/>
          <w:lang w:val="es-MX"/>
        </w:rPr>
        <w:t>A 31 de diciembre cuenta con un presupuesto asignado de $2.014.602.000 y se ejecuto lo siguiente: Indemnización por vacaciones ($742.387.980); Bonificación por recreación ($258.175.821): Reconocimiento por permanencia en el servicio público – Bogotá D.C ($959.016.686); Prima secretarial ($39.793.294), para un total de $1.999.373.871 que corresponde al 99.24% ejecutado</w:t>
      </w:r>
      <w:r w:rsidR="001311D4">
        <w:rPr>
          <w:sz w:val="22"/>
          <w:szCs w:val="22"/>
          <w:lang w:val="es-MX"/>
        </w:rPr>
        <w:t>.</w:t>
      </w:r>
    </w:p>
    <w:p w:rsidR="001311D4" w:rsidRDefault="001311D4" w:rsidP="001311D4">
      <w:pPr>
        <w:pStyle w:val="CUERPO1"/>
        <w:spacing w:after="0" w:line="276" w:lineRule="auto"/>
        <w:ind w:left="720"/>
        <w:rPr>
          <w:sz w:val="22"/>
          <w:szCs w:val="22"/>
          <w:lang w:val="es-MX"/>
        </w:rPr>
      </w:pPr>
    </w:p>
    <w:p w:rsidR="005A5538" w:rsidRDefault="001311D4" w:rsidP="005A5538">
      <w:pPr>
        <w:pStyle w:val="CUERPO1"/>
        <w:numPr>
          <w:ilvl w:val="0"/>
          <w:numId w:val="32"/>
        </w:numPr>
        <w:spacing w:after="0" w:line="276" w:lineRule="auto"/>
        <w:rPr>
          <w:sz w:val="22"/>
          <w:szCs w:val="22"/>
          <w:lang w:val="es-MX"/>
        </w:rPr>
      </w:pPr>
      <w:r>
        <w:rPr>
          <w:b/>
          <w:sz w:val="22"/>
          <w:szCs w:val="22"/>
          <w:lang w:val="es-MX"/>
        </w:rPr>
        <w:t xml:space="preserve">Adquisición de bienes y servicios: </w:t>
      </w:r>
      <w:r>
        <w:rPr>
          <w:sz w:val="22"/>
          <w:szCs w:val="22"/>
          <w:lang w:val="es-MX"/>
        </w:rPr>
        <w:t>A 31 de diciembre cuenta con un presupuesto asignado de $11.170.705.000 y se ejecutó lo siguiente: Equipos de información, computación y telecomunicaciones TIC ($4.760.000); carne, pescado, frutas, hortalizas, aceites y grasas ($2.067.081), Productos lactaos y ovo productos ($1.075.740), Productos de molinería, almidones y productos derivados del almidón y otros productos alimenticios ($67.851.496), Bebidas ($409.260), Artículos textiles (excepto prendas de vestir) ($2.238.061), Dotación (prendas de vestir y calzado) ($90.641.013), Productos de madera, corcho, cestería y espartería (582.487),</w:t>
      </w:r>
      <w:r w:rsidR="00B62055">
        <w:rPr>
          <w:sz w:val="22"/>
          <w:szCs w:val="22"/>
          <w:lang w:val="es-MX"/>
        </w:rPr>
        <w:t xml:space="preserve"> Pasta o pulpa, </w:t>
      </w:r>
      <w:r w:rsidR="00B0742A">
        <w:rPr>
          <w:sz w:val="22"/>
          <w:szCs w:val="22"/>
          <w:lang w:val="es-MX"/>
        </w:rPr>
        <w:t>papel</w:t>
      </w:r>
      <w:r w:rsidR="00B62055">
        <w:rPr>
          <w:sz w:val="22"/>
          <w:szCs w:val="22"/>
          <w:lang w:val="es-MX"/>
        </w:rPr>
        <w:t xml:space="preserve"> y </w:t>
      </w:r>
      <w:r w:rsidR="00B0742A">
        <w:rPr>
          <w:sz w:val="22"/>
          <w:szCs w:val="22"/>
          <w:lang w:val="es-MX"/>
        </w:rPr>
        <w:t>productos</w:t>
      </w:r>
      <w:r w:rsidR="00B62055">
        <w:rPr>
          <w:sz w:val="22"/>
          <w:szCs w:val="22"/>
          <w:lang w:val="es-MX"/>
        </w:rPr>
        <w:t xml:space="preserve"> de papel; impresos y artículos relacionados ($128.761.662), Productos de hornos de </w:t>
      </w:r>
      <w:r w:rsidR="00B0742A">
        <w:rPr>
          <w:sz w:val="22"/>
          <w:szCs w:val="22"/>
          <w:lang w:val="es-MX"/>
        </w:rPr>
        <w:t>coque</w:t>
      </w:r>
      <w:r w:rsidR="00B62055">
        <w:rPr>
          <w:sz w:val="22"/>
          <w:szCs w:val="22"/>
          <w:lang w:val="es-MX"/>
        </w:rPr>
        <w:t>, de refinación de petróleo y combustible (</w:t>
      </w:r>
      <w:r w:rsidR="008C3EE0">
        <w:rPr>
          <w:sz w:val="22"/>
          <w:szCs w:val="22"/>
          <w:lang w:val="es-MX"/>
        </w:rPr>
        <w:t xml:space="preserve">$191.593.915), </w:t>
      </w:r>
      <w:r w:rsidR="00B0742A">
        <w:rPr>
          <w:sz w:val="22"/>
          <w:szCs w:val="22"/>
          <w:lang w:val="es-MX"/>
        </w:rPr>
        <w:t>Químicos</w:t>
      </w:r>
      <w:r w:rsidR="008C3EE0">
        <w:rPr>
          <w:sz w:val="22"/>
          <w:szCs w:val="22"/>
          <w:lang w:val="es-MX"/>
        </w:rPr>
        <w:t xml:space="preserve"> básicos ($197.183), Otros productos químicos; fibras artificiales (fibras industriales hechas por el hombre) ($38.078.840), Productos de caucho y plástico ($266.133.377), Vidrio y productos de vidrio y otros productos no metálicos n.c.p ($3.048.254), Muebles; otros bienes transportables n.c.p ($20.689.897), Productos </w:t>
      </w:r>
      <w:r w:rsidR="008616D7">
        <w:rPr>
          <w:sz w:val="22"/>
          <w:szCs w:val="22"/>
          <w:lang w:val="es-MX"/>
        </w:rPr>
        <w:t>metálicos</w:t>
      </w:r>
      <w:r w:rsidR="008C3EE0">
        <w:rPr>
          <w:sz w:val="22"/>
          <w:szCs w:val="22"/>
          <w:lang w:val="es-MX"/>
        </w:rPr>
        <w:t xml:space="preserve"> elaborados (excepto maquinaria y equipo) ($13.448.415), Maquinaria para uso general ($1.564.500), Maquinaria para usos especiales</w:t>
      </w:r>
      <w:r w:rsidR="00B0742A">
        <w:rPr>
          <w:sz w:val="22"/>
          <w:szCs w:val="22"/>
          <w:lang w:val="es-MX"/>
        </w:rPr>
        <w:t xml:space="preserve"> ($3.753.946), Maquinaria de oficina </w:t>
      </w:r>
      <w:r w:rsidR="008616D7">
        <w:rPr>
          <w:sz w:val="22"/>
          <w:szCs w:val="22"/>
          <w:lang w:val="es-MX"/>
        </w:rPr>
        <w:t>contabilidad,</w:t>
      </w:r>
      <w:r w:rsidR="00B0742A">
        <w:rPr>
          <w:sz w:val="22"/>
          <w:szCs w:val="22"/>
          <w:lang w:val="es-MX"/>
        </w:rPr>
        <w:t xml:space="preserve"> informática ($68.595.397), Maquinaria y aparatos eléctricos($4.981.204), Equipos y aparatos de radio, televisión y comunicaciones ($37.344.824), Aparatos </w:t>
      </w:r>
      <w:r w:rsidR="008616D7">
        <w:rPr>
          <w:sz w:val="22"/>
          <w:szCs w:val="22"/>
          <w:lang w:val="es-MX"/>
        </w:rPr>
        <w:t>médicos, instrumentos</w:t>
      </w:r>
      <w:r w:rsidR="00B0742A">
        <w:rPr>
          <w:sz w:val="22"/>
          <w:szCs w:val="22"/>
          <w:lang w:val="es-MX"/>
        </w:rPr>
        <w:t xml:space="preserve"> </w:t>
      </w:r>
      <w:r w:rsidR="00B0742A">
        <w:rPr>
          <w:sz w:val="22"/>
          <w:szCs w:val="22"/>
          <w:lang w:val="es-MX"/>
        </w:rPr>
        <w:lastRenderedPageBreak/>
        <w:t>ópticos y de precisión relojes ($241.173), Equipo de transporte (partes, piezas y accesorios) ($0), Alojamiento; servicios de suministros de comidas y bebidas ($9.217.390), Servicios de transporte de pasajeros ($712.400), Servicios de transporte de carga ($5.710.000),</w:t>
      </w:r>
      <w:r w:rsidR="008616D7">
        <w:rPr>
          <w:sz w:val="22"/>
          <w:szCs w:val="22"/>
          <w:lang w:val="es-MX"/>
        </w:rPr>
        <w:t xml:space="preserve"> Servicios de mensajería($110.596.900), Servicio de seguros de vehículos automotores ($173.834.425), Servicios de seguro contra incendios terremoto o sustracción ($109.863.085), Servicio de seguros generales de responsabilidad civil ($260.876.579), Servicios de administración de fondos de pensiones y cesantías ($47.259.366), Otros servicios de seguros distintos de los seguros de vida n.c.p ($30.805.661), Servicios de alquiler o arrendamiento con o sin opción de compra relativos a bienes inmuebles no residenciales propios o arrendados ($ 87.210.400), Servicios de documentación y certificación jurídica ($2.177.084), </w:t>
      </w:r>
      <w:r w:rsidR="00CD58FF">
        <w:rPr>
          <w:sz w:val="22"/>
          <w:szCs w:val="22"/>
          <w:lang w:val="es-MX"/>
        </w:rPr>
        <w:t xml:space="preserve">Otros servicios jurídicos n.c.p ($1.912.790.001), Servicios de consultoría en administración y servicios de gestión; servicios de tecnología de la información ($0), Servicios de arquitectura, servicios de planeación urbana y ordenación del territorio; servicios de arquitectura </w:t>
      </w:r>
      <w:r w:rsidR="001626AB">
        <w:rPr>
          <w:sz w:val="22"/>
          <w:szCs w:val="22"/>
          <w:lang w:val="es-MX"/>
        </w:rPr>
        <w:t>paisajística</w:t>
      </w:r>
      <w:r w:rsidR="00CD58FF">
        <w:rPr>
          <w:sz w:val="22"/>
          <w:szCs w:val="22"/>
          <w:lang w:val="es-MX"/>
        </w:rPr>
        <w:t xml:space="preserve"> ($62.533.333), Servicios de ingeniería ($168.100.000), Servicios de </w:t>
      </w:r>
      <w:r w:rsidR="001626AB">
        <w:rPr>
          <w:sz w:val="22"/>
          <w:szCs w:val="22"/>
          <w:lang w:val="es-MX"/>
        </w:rPr>
        <w:t>publicidad</w:t>
      </w:r>
      <w:r w:rsidR="00CD58FF">
        <w:rPr>
          <w:sz w:val="22"/>
          <w:szCs w:val="22"/>
          <w:lang w:val="es-MX"/>
        </w:rPr>
        <w:t xml:space="preserve"> y el suministro de espac</w:t>
      </w:r>
      <w:r w:rsidR="00812D72">
        <w:rPr>
          <w:sz w:val="22"/>
          <w:szCs w:val="22"/>
          <w:lang w:val="es-MX"/>
        </w:rPr>
        <w:t>i</w:t>
      </w:r>
      <w:r w:rsidR="00CD58FF">
        <w:rPr>
          <w:sz w:val="22"/>
          <w:szCs w:val="22"/>
          <w:lang w:val="es-MX"/>
        </w:rPr>
        <w:t>o o tiempos publicitarios</w:t>
      </w:r>
      <w:r w:rsidR="00812D72">
        <w:rPr>
          <w:sz w:val="22"/>
          <w:szCs w:val="22"/>
          <w:lang w:val="es-MX"/>
        </w:rPr>
        <w:t xml:space="preserve"> ($2.371.484), </w:t>
      </w:r>
      <w:r w:rsidR="005A5538">
        <w:rPr>
          <w:sz w:val="22"/>
          <w:szCs w:val="22"/>
          <w:lang w:val="es-MX"/>
        </w:rPr>
        <w:t xml:space="preserve">Otros servicios </w:t>
      </w:r>
      <w:r w:rsidR="00812D72">
        <w:rPr>
          <w:sz w:val="22"/>
          <w:szCs w:val="22"/>
          <w:lang w:val="es-MX"/>
        </w:rPr>
        <w:t xml:space="preserve"> profesionales y técnicos n.c,p ($770.645.084),</w:t>
      </w:r>
      <w:r w:rsidR="001626AB">
        <w:rPr>
          <w:sz w:val="22"/>
          <w:szCs w:val="22"/>
          <w:lang w:val="es-MX"/>
        </w:rPr>
        <w:t xml:space="preserve"> Servicios de telefonía fija ($126.627.222), Servicios de </w:t>
      </w:r>
      <w:r w:rsidR="005A5538">
        <w:rPr>
          <w:sz w:val="22"/>
          <w:szCs w:val="22"/>
          <w:lang w:val="es-MX"/>
        </w:rPr>
        <w:t>telecomunicaciones</w:t>
      </w:r>
      <w:r w:rsidR="001626AB">
        <w:rPr>
          <w:sz w:val="22"/>
          <w:szCs w:val="22"/>
          <w:lang w:val="es-MX"/>
        </w:rPr>
        <w:t xml:space="preserve"> </w:t>
      </w:r>
      <w:r w:rsidR="005A5538">
        <w:rPr>
          <w:sz w:val="22"/>
          <w:szCs w:val="22"/>
          <w:lang w:val="es-MX"/>
        </w:rPr>
        <w:t>móviles</w:t>
      </w:r>
      <w:r w:rsidR="001626AB">
        <w:rPr>
          <w:sz w:val="22"/>
          <w:szCs w:val="22"/>
          <w:lang w:val="es-MX"/>
        </w:rPr>
        <w:t xml:space="preserve"> ($11.455.778), Servicios de telecomunicaciones a </w:t>
      </w:r>
      <w:r w:rsidR="005A5538">
        <w:rPr>
          <w:sz w:val="22"/>
          <w:szCs w:val="22"/>
          <w:lang w:val="es-MX"/>
        </w:rPr>
        <w:t>través</w:t>
      </w:r>
      <w:r w:rsidR="001626AB">
        <w:rPr>
          <w:sz w:val="22"/>
          <w:szCs w:val="22"/>
          <w:lang w:val="es-MX"/>
        </w:rPr>
        <w:t xml:space="preserve"> de internet ($50.773.908), servicios de </w:t>
      </w:r>
      <w:r w:rsidR="005A5538">
        <w:rPr>
          <w:sz w:val="22"/>
          <w:szCs w:val="22"/>
          <w:lang w:val="es-MX"/>
        </w:rPr>
        <w:t>trasmisión</w:t>
      </w:r>
      <w:r w:rsidR="001626AB">
        <w:rPr>
          <w:sz w:val="22"/>
          <w:szCs w:val="22"/>
          <w:lang w:val="es-MX"/>
        </w:rPr>
        <w:t xml:space="preserve"> de radio y televisión ($134.945.328), Servicios de protección (guardas de seguridad) ($1.116.174.029), Servicios de limpieza general ($578.833.719), Servicios de copia y reproducción ($67.502.174),Otros servicios de apoyo y de información no clasificados previamente($236.379.999), Servicios de mantenimiento y reparación de productos </w:t>
      </w:r>
      <w:r w:rsidR="005A5538">
        <w:rPr>
          <w:sz w:val="22"/>
          <w:szCs w:val="22"/>
          <w:lang w:val="es-MX"/>
        </w:rPr>
        <w:t>metálicos</w:t>
      </w:r>
      <w:r w:rsidR="001626AB">
        <w:rPr>
          <w:sz w:val="22"/>
          <w:szCs w:val="22"/>
          <w:lang w:val="es-MX"/>
        </w:rPr>
        <w:t xml:space="preserve"> elaborados, excepto maquinaria y equipo ($4.417.350),</w:t>
      </w:r>
      <w:r w:rsidR="00CD58FF">
        <w:rPr>
          <w:sz w:val="22"/>
          <w:szCs w:val="22"/>
          <w:lang w:val="es-MX"/>
        </w:rPr>
        <w:t xml:space="preserve"> </w:t>
      </w:r>
      <w:r w:rsidR="001626AB">
        <w:rPr>
          <w:sz w:val="22"/>
          <w:szCs w:val="22"/>
          <w:lang w:val="es-MX"/>
        </w:rPr>
        <w:t xml:space="preserve">Servicios de mantenimiento y reparación de computadores y equipo </w:t>
      </w:r>
      <w:r w:rsidR="005A5538">
        <w:rPr>
          <w:sz w:val="22"/>
          <w:szCs w:val="22"/>
          <w:lang w:val="es-MX"/>
        </w:rPr>
        <w:t>periférico</w:t>
      </w:r>
      <w:r w:rsidR="001626AB">
        <w:rPr>
          <w:sz w:val="22"/>
          <w:szCs w:val="22"/>
          <w:lang w:val="es-MX"/>
        </w:rPr>
        <w:t xml:space="preserve"> ($2.300.000), Servicios de mantenimiento y reparación de maquinaria y equipo de transporte ($176.188.107), Servicios de mantenimiento y reparación de otra maquinaria y otro equipo ($162.583.498), Servicios de reparación de muebles ($90.000.000),</w:t>
      </w:r>
      <w:r w:rsidR="00120E13">
        <w:rPr>
          <w:sz w:val="22"/>
          <w:szCs w:val="22"/>
          <w:lang w:val="es-MX"/>
        </w:rPr>
        <w:t xml:space="preserve"> Servicios de instalación (distintos de los servicios de construcción) ($28.914.260), Servicios de reparación de otros bienes ($327.766.671), Servicios de impresión ($14.047.122), servicio relacionados con la </w:t>
      </w:r>
      <w:r w:rsidR="005A5538">
        <w:rPr>
          <w:sz w:val="22"/>
          <w:szCs w:val="22"/>
          <w:lang w:val="es-MX"/>
        </w:rPr>
        <w:t>impresión</w:t>
      </w:r>
      <w:r w:rsidR="00120E13">
        <w:rPr>
          <w:sz w:val="22"/>
          <w:szCs w:val="22"/>
          <w:lang w:val="es-MX"/>
        </w:rPr>
        <w:t xml:space="preserve"> ($40.000), </w:t>
      </w:r>
      <w:r w:rsidR="005A5538">
        <w:rPr>
          <w:sz w:val="22"/>
          <w:szCs w:val="22"/>
          <w:lang w:val="es-MX"/>
        </w:rPr>
        <w:t>Energía</w:t>
      </w:r>
      <w:r w:rsidR="00120E13">
        <w:rPr>
          <w:sz w:val="22"/>
          <w:szCs w:val="22"/>
          <w:lang w:val="es-MX"/>
        </w:rPr>
        <w:t xml:space="preserve"> ($</w:t>
      </w:r>
      <w:r w:rsidR="009D6535">
        <w:rPr>
          <w:sz w:val="22"/>
          <w:szCs w:val="22"/>
          <w:lang w:val="es-MX"/>
        </w:rPr>
        <w:t>305.150.482),</w:t>
      </w:r>
      <w:r w:rsidR="00D626FF">
        <w:rPr>
          <w:sz w:val="22"/>
          <w:szCs w:val="22"/>
          <w:lang w:val="es-MX"/>
        </w:rPr>
        <w:t xml:space="preserve"> Acueducto y alcantarillado ($6.104.358), Aseo ($4.079.864), </w:t>
      </w:r>
      <w:r w:rsidR="005A5538">
        <w:rPr>
          <w:sz w:val="22"/>
          <w:szCs w:val="22"/>
          <w:lang w:val="es-MX"/>
        </w:rPr>
        <w:t>Gas</w:t>
      </w:r>
      <w:r w:rsidR="00D626FF">
        <w:rPr>
          <w:sz w:val="22"/>
          <w:szCs w:val="22"/>
          <w:lang w:val="es-MX"/>
        </w:rPr>
        <w:t xml:space="preserve"> ($307.680), </w:t>
      </w:r>
      <w:r w:rsidR="005A5538">
        <w:rPr>
          <w:sz w:val="22"/>
          <w:szCs w:val="22"/>
          <w:lang w:val="es-MX"/>
        </w:rPr>
        <w:t>Viáticos</w:t>
      </w:r>
      <w:r w:rsidR="00D626FF">
        <w:rPr>
          <w:sz w:val="22"/>
          <w:szCs w:val="22"/>
          <w:lang w:val="es-MX"/>
        </w:rPr>
        <w:t xml:space="preserve"> y gastos de viaje ($151.381.828), </w:t>
      </w:r>
      <w:r w:rsidR="005A5538">
        <w:rPr>
          <w:sz w:val="22"/>
          <w:szCs w:val="22"/>
          <w:lang w:val="es-MX"/>
        </w:rPr>
        <w:t>Capacitación</w:t>
      </w:r>
      <w:r w:rsidR="00D626FF">
        <w:rPr>
          <w:sz w:val="22"/>
          <w:szCs w:val="22"/>
          <w:lang w:val="es-MX"/>
        </w:rPr>
        <w:t xml:space="preserve"> ($721.599.467), Bienestar e incentivos ($763.363.234), Salud ocupacional ($229.411.822)</w:t>
      </w:r>
      <w:r w:rsidR="005A5538">
        <w:rPr>
          <w:sz w:val="22"/>
          <w:szCs w:val="22"/>
          <w:lang w:val="es-MX"/>
        </w:rPr>
        <w:t>, para un total de $10.022.763.617 que corresponde al 89.72% de ejecución.</w:t>
      </w:r>
    </w:p>
    <w:p w:rsidR="001311D4" w:rsidRDefault="001311D4" w:rsidP="005A5538">
      <w:pPr>
        <w:pStyle w:val="CUERPO1"/>
        <w:spacing w:after="0" w:line="276" w:lineRule="auto"/>
        <w:ind w:left="360"/>
        <w:rPr>
          <w:sz w:val="22"/>
          <w:szCs w:val="22"/>
          <w:lang w:val="es-MX"/>
        </w:rPr>
      </w:pPr>
    </w:p>
    <w:p w:rsidR="00457600" w:rsidRDefault="00457600" w:rsidP="00457600">
      <w:pPr>
        <w:pStyle w:val="CUERPO1"/>
        <w:numPr>
          <w:ilvl w:val="0"/>
          <w:numId w:val="32"/>
        </w:numPr>
        <w:spacing w:after="0" w:line="276" w:lineRule="auto"/>
        <w:rPr>
          <w:sz w:val="22"/>
          <w:szCs w:val="22"/>
          <w:lang w:val="es-MX"/>
        </w:rPr>
      </w:pPr>
      <w:r>
        <w:rPr>
          <w:b/>
          <w:sz w:val="22"/>
          <w:szCs w:val="22"/>
          <w:lang w:val="es-MX"/>
        </w:rPr>
        <w:t xml:space="preserve">Gastos diversos: </w:t>
      </w:r>
      <w:r>
        <w:rPr>
          <w:sz w:val="22"/>
          <w:szCs w:val="22"/>
          <w:lang w:val="es-MX"/>
        </w:rPr>
        <w:t xml:space="preserve">A 31 de diciembre cuenta con un presupuesto asignado de $64.500.000 y se ejecuto lo siguiente: Impuesto predial ($42.964.000); Impuesto de </w:t>
      </w:r>
      <w:r>
        <w:rPr>
          <w:sz w:val="22"/>
          <w:szCs w:val="22"/>
          <w:lang w:val="es-MX"/>
        </w:rPr>
        <w:lastRenderedPageBreak/>
        <w:t xml:space="preserve">vehículos ($1.595.000), para un total de $44.559.000 que corresponde al 69.08% </w:t>
      </w:r>
      <w:r w:rsidR="00FB5552">
        <w:rPr>
          <w:sz w:val="22"/>
          <w:szCs w:val="22"/>
          <w:lang w:val="es-MX"/>
        </w:rPr>
        <w:t>ejecución</w:t>
      </w:r>
      <w:r>
        <w:rPr>
          <w:sz w:val="22"/>
          <w:szCs w:val="22"/>
          <w:lang w:val="es-MX"/>
        </w:rPr>
        <w:t>.</w:t>
      </w:r>
    </w:p>
    <w:p w:rsidR="00FB5552" w:rsidRDefault="00FB5552" w:rsidP="00FB5552">
      <w:pPr>
        <w:pStyle w:val="Prrafodelista"/>
        <w:rPr>
          <w:sz w:val="22"/>
          <w:szCs w:val="22"/>
          <w:lang w:val="es-MX"/>
        </w:rPr>
      </w:pPr>
    </w:p>
    <w:p w:rsidR="000A5F37" w:rsidRPr="00FB5552" w:rsidRDefault="00FB5552" w:rsidP="00457600">
      <w:pPr>
        <w:pStyle w:val="CUERPO1"/>
        <w:numPr>
          <w:ilvl w:val="0"/>
          <w:numId w:val="32"/>
        </w:numPr>
        <w:spacing w:after="0" w:line="276" w:lineRule="auto"/>
        <w:rPr>
          <w:b/>
          <w:sz w:val="22"/>
          <w:szCs w:val="22"/>
          <w:lang w:val="es-MX"/>
        </w:rPr>
      </w:pPr>
      <w:r w:rsidRPr="00FB5552">
        <w:rPr>
          <w:b/>
          <w:sz w:val="22"/>
          <w:szCs w:val="22"/>
          <w:lang w:val="es-MX"/>
        </w:rPr>
        <w:t>Transferencias corrientes de funcionamiento:</w:t>
      </w:r>
      <w:r w:rsidRPr="00FB5552">
        <w:rPr>
          <w:sz w:val="22"/>
          <w:szCs w:val="22"/>
          <w:lang w:val="es-MX"/>
        </w:rPr>
        <w:t xml:space="preserve"> </w:t>
      </w:r>
      <w:r>
        <w:rPr>
          <w:sz w:val="22"/>
          <w:szCs w:val="22"/>
          <w:lang w:val="es-MX"/>
        </w:rPr>
        <w:t>A 31 de diciembre cuenta con un presupuesto asignado de $3.565.716.483 y se ejecutó lo siguiente: Membresías ($9.074.800); Sentencias ($3.552.241.049), para un total de $ 3.561.315.849 que corresponde al 99.88% de ejecución</w:t>
      </w:r>
    </w:p>
    <w:p w:rsidR="0004451E" w:rsidRDefault="0004451E" w:rsidP="0044561B">
      <w:pPr>
        <w:pStyle w:val="CUERPO1"/>
        <w:spacing w:after="0" w:line="276" w:lineRule="auto"/>
        <w:ind w:left="720"/>
        <w:rPr>
          <w:sz w:val="22"/>
          <w:szCs w:val="22"/>
          <w:lang w:val="es-MX"/>
        </w:rPr>
      </w:pPr>
    </w:p>
    <w:p w:rsidR="00061448" w:rsidRDefault="00061448" w:rsidP="00061448">
      <w:pPr>
        <w:pStyle w:val="Prrafodelista"/>
        <w:rPr>
          <w:sz w:val="12"/>
          <w:szCs w:val="22"/>
          <w:lang w:val="es-MX"/>
        </w:rPr>
      </w:pPr>
    </w:p>
    <w:p w:rsidR="00C84850" w:rsidRDefault="00C84850" w:rsidP="00061448">
      <w:pPr>
        <w:pStyle w:val="Prrafodelista"/>
        <w:rPr>
          <w:sz w:val="12"/>
          <w:szCs w:val="22"/>
          <w:lang w:val="es-MX"/>
        </w:rPr>
      </w:pPr>
    </w:p>
    <w:p w:rsidR="002408D4" w:rsidRDefault="005A2222" w:rsidP="00555E40">
      <w:pPr>
        <w:pStyle w:val="CUERPO1"/>
        <w:numPr>
          <w:ilvl w:val="1"/>
          <w:numId w:val="30"/>
        </w:numPr>
        <w:spacing w:after="0" w:line="276" w:lineRule="auto"/>
        <w:rPr>
          <w:b/>
          <w:sz w:val="22"/>
          <w:szCs w:val="22"/>
          <w:lang w:val="es-MX"/>
        </w:rPr>
      </w:pPr>
      <w:r>
        <w:rPr>
          <w:b/>
          <w:sz w:val="22"/>
          <w:szCs w:val="22"/>
          <w:lang w:val="es-MX"/>
        </w:rPr>
        <w:t>A</w:t>
      </w:r>
      <w:r w:rsidR="002408D4" w:rsidRPr="002408D4">
        <w:rPr>
          <w:b/>
          <w:sz w:val="22"/>
          <w:szCs w:val="22"/>
          <w:lang w:val="es-MX"/>
        </w:rPr>
        <w:t xml:space="preserve">nálisis </w:t>
      </w:r>
      <w:r w:rsidR="00A77DA5">
        <w:rPr>
          <w:b/>
          <w:sz w:val="22"/>
          <w:szCs w:val="22"/>
          <w:lang w:val="es-MX"/>
        </w:rPr>
        <w:t>P</w:t>
      </w:r>
      <w:r w:rsidR="002408D4" w:rsidRPr="002408D4">
        <w:rPr>
          <w:b/>
          <w:sz w:val="22"/>
          <w:szCs w:val="22"/>
          <w:lang w:val="es-MX"/>
        </w:rPr>
        <w:t xml:space="preserve">lan de </w:t>
      </w:r>
      <w:r w:rsidR="00A77DA5">
        <w:rPr>
          <w:b/>
          <w:sz w:val="22"/>
          <w:szCs w:val="22"/>
          <w:lang w:val="es-MX"/>
        </w:rPr>
        <w:t>A</w:t>
      </w:r>
      <w:r w:rsidR="002408D4" w:rsidRPr="002408D4">
        <w:rPr>
          <w:b/>
          <w:sz w:val="22"/>
          <w:szCs w:val="22"/>
          <w:lang w:val="es-MX"/>
        </w:rPr>
        <w:t>cción</w:t>
      </w:r>
    </w:p>
    <w:p w:rsidR="002408D4" w:rsidRPr="002408D4" w:rsidRDefault="002408D4" w:rsidP="0004451E">
      <w:pPr>
        <w:pStyle w:val="CUERPO1"/>
        <w:spacing w:after="0" w:line="276" w:lineRule="auto"/>
        <w:ind w:left="720"/>
        <w:rPr>
          <w:b/>
          <w:sz w:val="22"/>
          <w:szCs w:val="22"/>
          <w:lang w:val="es-MX"/>
        </w:rPr>
      </w:pPr>
    </w:p>
    <w:p w:rsidR="002408D4" w:rsidRDefault="00A239E9" w:rsidP="0004451E">
      <w:pPr>
        <w:pStyle w:val="CUERPO1"/>
        <w:spacing w:line="276" w:lineRule="auto"/>
        <w:rPr>
          <w:sz w:val="22"/>
          <w:szCs w:val="22"/>
          <w:lang w:val="es-MX"/>
        </w:rPr>
      </w:pPr>
      <w:r>
        <w:rPr>
          <w:sz w:val="22"/>
          <w:szCs w:val="22"/>
          <w:lang w:val="es-MX"/>
        </w:rPr>
        <w:t>En el P</w:t>
      </w:r>
      <w:r w:rsidR="00563BEB">
        <w:rPr>
          <w:sz w:val="22"/>
          <w:szCs w:val="22"/>
          <w:lang w:val="es-MX"/>
        </w:rPr>
        <w:t>lan de Acción Institucional 201</w:t>
      </w:r>
      <w:r w:rsidR="00646BCE">
        <w:rPr>
          <w:sz w:val="22"/>
          <w:szCs w:val="22"/>
          <w:lang w:val="es-MX"/>
        </w:rPr>
        <w:t>9</w:t>
      </w:r>
      <w:r>
        <w:rPr>
          <w:sz w:val="22"/>
          <w:szCs w:val="22"/>
          <w:lang w:val="es-MX"/>
        </w:rPr>
        <w:t>, la S</w:t>
      </w:r>
      <w:r w:rsidR="002408D4" w:rsidRPr="002408D4">
        <w:rPr>
          <w:sz w:val="22"/>
          <w:szCs w:val="22"/>
          <w:lang w:val="es-MX"/>
        </w:rPr>
        <w:t xml:space="preserve">ubdirección </w:t>
      </w:r>
      <w:r>
        <w:rPr>
          <w:sz w:val="22"/>
          <w:szCs w:val="22"/>
          <w:lang w:val="es-MX"/>
        </w:rPr>
        <w:t>F</w:t>
      </w:r>
      <w:r w:rsidR="00EA480E">
        <w:rPr>
          <w:sz w:val="22"/>
          <w:szCs w:val="22"/>
          <w:lang w:val="es-MX"/>
        </w:rPr>
        <w:t>inanciera tiene a cargo 4</w:t>
      </w:r>
      <w:r w:rsidR="002408D4" w:rsidRPr="002408D4">
        <w:rPr>
          <w:sz w:val="22"/>
          <w:szCs w:val="22"/>
          <w:lang w:val="es-MX"/>
        </w:rPr>
        <w:t xml:space="preserve"> actividades las cuales están medidas porcentualmente y son indicadores de eficacia. A continuación se le realiza análisis a cada una de e</w:t>
      </w:r>
      <w:r w:rsidR="003E2C89">
        <w:rPr>
          <w:sz w:val="22"/>
          <w:szCs w:val="22"/>
          <w:lang w:val="es-MX"/>
        </w:rPr>
        <w:t xml:space="preserve">llas con corte a </w:t>
      </w:r>
      <w:r w:rsidR="002637A3">
        <w:rPr>
          <w:sz w:val="22"/>
          <w:szCs w:val="22"/>
          <w:lang w:val="es-MX"/>
        </w:rPr>
        <w:t>31 de diciembre</w:t>
      </w:r>
      <w:r w:rsidR="00EA480E">
        <w:rPr>
          <w:sz w:val="22"/>
          <w:szCs w:val="22"/>
          <w:lang w:val="es-MX"/>
        </w:rPr>
        <w:t xml:space="preserve"> </w:t>
      </w:r>
      <w:r w:rsidR="00563BEB">
        <w:rPr>
          <w:sz w:val="22"/>
          <w:szCs w:val="22"/>
          <w:lang w:val="es-MX"/>
        </w:rPr>
        <w:t>de 2018</w:t>
      </w:r>
      <w:r w:rsidR="003E2C89">
        <w:rPr>
          <w:sz w:val="22"/>
          <w:szCs w:val="22"/>
          <w:lang w:val="es-MX"/>
        </w:rPr>
        <w:t>.</w:t>
      </w:r>
    </w:p>
    <w:p w:rsidR="00257583" w:rsidRPr="00F97C62" w:rsidRDefault="00B0015D" w:rsidP="00257583">
      <w:pPr>
        <w:pStyle w:val="CUERPO1"/>
        <w:numPr>
          <w:ilvl w:val="2"/>
          <w:numId w:val="14"/>
        </w:numPr>
        <w:spacing w:line="276" w:lineRule="auto"/>
        <w:rPr>
          <w:b/>
          <w:sz w:val="22"/>
          <w:szCs w:val="22"/>
          <w:lang w:val="es-MX"/>
        </w:rPr>
      </w:pPr>
      <w:r w:rsidRPr="00F97C62">
        <w:rPr>
          <w:b/>
          <w:sz w:val="22"/>
          <w:szCs w:val="22"/>
          <w:lang w:val="es-MX"/>
        </w:rPr>
        <w:t>Ejecución P</w:t>
      </w:r>
      <w:r w:rsidR="00937AF0" w:rsidRPr="00F97C62">
        <w:rPr>
          <w:b/>
          <w:sz w:val="22"/>
          <w:szCs w:val="22"/>
          <w:lang w:val="es-MX"/>
        </w:rPr>
        <w:t>resupuestal</w:t>
      </w:r>
    </w:p>
    <w:p w:rsidR="00257583" w:rsidRPr="004B62B0" w:rsidRDefault="00257583" w:rsidP="0004451E">
      <w:pPr>
        <w:pStyle w:val="CUERPO1"/>
        <w:spacing w:line="276" w:lineRule="auto"/>
        <w:rPr>
          <w:b/>
          <w:sz w:val="6"/>
          <w:szCs w:val="22"/>
          <w:lang w:val="es-MX"/>
        </w:rPr>
      </w:pPr>
    </w:p>
    <w:p w:rsidR="00937AF0" w:rsidRDefault="00937AF0" w:rsidP="0004451E">
      <w:pPr>
        <w:pStyle w:val="CUERPO1"/>
        <w:spacing w:line="276" w:lineRule="auto"/>
        <w:rPr>
          <w:sz w:val="22"/>
          <w:szCs w:val="22"/>
          <w:lang w:val="es-MX"/>
        </w:rPr>
      </w:pPr>
      <w:r w:rsidRPr="004B62B0">
        <w:rPr>
          <w:b/>
          <w:sz w:val="22"/>
          <w:szCs w:val="22"/>
          <w:lang w:val="es-MX"/>
        </w:rPr>
        <w:t>OBJETIVO DEL INDICADOR:</w:t>
      </w:r>
      <w:r>
        <w:rPr>
          <w:sz w:val="22"/>
          <w:szCs w:val="22"/>
          <w:lang w:val="es-MX"/>
        </w:rPr>
        <w:t xml:space="preserve"> </w:t>
      </w:r>
      <w:r w:rsidRPr="00937AF0">
        <w:rPr>
          <w:sz w:val="22"/>
          <w:szCs w:val="22"/>
          <w:lang w:val="es-MX"/>
        </w:rPr>
        <w:t>Medir el porcentaje de ejecución de gastos con respecto al presupuesto definitivo</w:t>
      </w:r>
      <w:r>
        <w:rPr>
          <w:sz w:val="22"/>
          <w:szCs w:val="22"/>
          <w:lang w:val="es-MX"/>
        </w:rPr>
        <w:t>.</w:t>
      </w:r>
    </w:p>
    <w:p w:rsidR="00937AF0" w:rsidRDefault="00937AF0" w:rsidP="0004451E">
      <w:pPr>
        <w:pStyle w:val="CUERPO1"/>
        <w:spacing w:line="276" w:lineRule="auto"/>
        <w:rPr>
          <w:sz w:val="22"/>
          <w:szCs w:val="22"/>
          <w:lang w:val="es-MX"/>
        </w:rPr>
      </w:pPr>
      <w:r w:rsidRPr="004B62B0">
        <w:rPr>
          <w:b/>
          <w:sz w:val="22"/>
          <w:szCs w:val="22"/>
          <w:lang w:val="es-MX"/>
        </w:rPr>
        <w:t>F</w:t>
      </w:r>
      <w:r w:rsidR="0077747A" w:rsidRPr="004B62B0">
        <w:rPr>
          <w:b/>
          <w:sz w:val="22"/>
          <w:szCs w:val="22"/>
          <w:lang w:val="es-MX"/>
        </w:rPr>
        <w:t>Ó</w:t>
      </w:r>
      <w:r w:rsidRPr="004B62B0">
        <w:rPr>
          <w:b/>
          <w:sz w:val="22"/>
          <w:szCs w:val="22"/>
          <w:lang w:val="es-MX"/>
        </w:rPr>
        <w:t>RMULA:</w:t>
      </w:r>
      <w:r>
        <w:rPr>
          <w:sz w:val="22"/>
          <w:szCs w:val="22"/>
          <w:lang w:val="es-MX"/>
        </w:rPr>
        <w:t xml:space="preserve"> </w:t>
      </w:r>
      <m:oMath>
        <m:f>
          <m:fPr>
            <m:ctrlPr>
              <w:rPr>
                <w:rFonts w:ascii="Cambria Math" w:hAnsi="Cambria Math"/>
                <w:i/>
                <w:sz w:val="22"/>
                <w:szCs w:val="22"/>
                <w:lang w:val="es-MX"/>
              </w:rPr>
            </m:ctrlPr>
          </m:fPr>
          <m:num>
            <m:r>
              <w:rPr>
                <w:rFonts w:ascii="Cambria Math" w:hAnsi="Cambria Math"/>
                <w:sz w:val="22"/>
                <w:szCs w:val="22"/>
                <w:lang w:val="es-MX"/>
              </w:rPr>
              <m:t>Valor total compromisos presupuestales</m:t>
            </m:r>
          </m:num>
          <m:den>
            <m:r>
              <w:rPr>
                <w:rFonts w:ascii="Cambria Math" w:hAnsi="Cambria Math"/>
                <w:sz w:val="22"/>
                <w:szCs w:val="22"/>
                <w:lang w:val="es-MX"/>
              </w:rPr>
              <m:t>Presupuesto definitivo de la vigencia</m:t>
            </m:r>
          </m:den>
        </m:f>
      </m:oMath>
    </w:p>
    <w:p w:rsidR="00061448" w:rsidRPr="00061448" w:rsidRDefault="00061448" w:rsidP="0004451E">
      <w:pPr>
        <w:pStyle w:val="CUERPO1"/>
        <w:spacing w:line="276" w:lineRule="auto"/>
        <w:rPr>
          <w:sz w:val="18"/>
          <w:szCs w:val="22"/>
          <w:lang w:val="es-MX"/>
        </w:rPr>
      </w:pPr>
    </w:p>
    <w:p w:rsidR="00061448" w:rsidRDefault="0077747A" w:rsidP="0004451E">
      <w:pPr>
        <w:pStyle w:val="CUERPO1"/>
        <w:spacing w:line="276" w:lineRule="auto"/>
        <w:rPr>
          <w:color w:val="000000" w:themeColor="text1"/>
          <w:sz w:val="22"/>
          <w:szCs w:val="22"/>
          <w:lang w:val="es-MX"/>
        </w:rPr>
      </w:pPr>
      <w:r w:rsidRPr="004B62B0">
        <w:rPr>
          <w:b/>
          <w:sz w:val="22"/>
          <w:szCs w:val="22"/>
          <w:lang w:val="es-MX"/>
        </w:rPr>
        <w:t>RESULTADO:</w:t>
      </w:r>
      <w:r>
        <w:rPr>
          <w:sz w:val="22"/>
          <w:szCs w:val="22"/>
          <w:lang w:val="es-MX"/>
        </w:rPr>
        <w:t xml:space="preserve"> </w:t>
      </w:r>
      <w:r w:rsidR="0095685D">
        <w:rPr>
          <w:color w:val="000000" w:themeColor="text1"/>
          <w:sz w:val="22"/>
          <w:szCs w:val="22"/>
          <w:lang w:val="es-MX"/>
        </w:rPr>
        <w:t>100</w:t>
      </w:r>
      <w:r w:rsidR="00EA480E">
        <w:rPr>
          <w:color w:val="000000" w:themeColor="text1"/>
          <w:sz w:val="22"/>
          <w:szCs w:val="22"/>
          <w:lang w:val="es-MX"/>
        </w:rPr>
        <w:t>%</w:t>
      </w:r>
    </w:p>
    <w:p w:rsidR="002408D4" w:rsidRDefault="0077747A" w:rsidP="0004451E">
      <w:pPr>
        <w:pStyle w:val="CUERPO1"/>
        <w:spacing w:line="276" w:lineRule="auto"/>
        <w:rPr>
          <w:sz w:val="22"/>
          <w:szCs w:val="22"/>
          <w:lang w:val="es-MX"/>
        </w:rPr>
      </w:pPr>
      <w:r w:rsidRPr="004B62B0">
        <w:rPr>
          <w:b/>
          <w:sz w:val="22"/>
          <w:szCs w:val="22"/>
          <w:lang w:val="es-MX"/>
        </w:rPr>
        <w:t>ANÁLISIS:</w:t>
      </w:r>
      <w:r w:rsidRPr="0077747A">
        <w:rPr>
          <w:sz w:val="22"/>
          <w:szCs w:val="22"/>
          <w:lang w:val="es-MX"/>
        </w:rPr>
        <w:t xml:space="preserve"> </w:t>
      </w:r>
      <w:r w:rsidR="0036426D" w:rsidRPr="0077747A">
        <w:rPr>
          <w:sz w:val="22"/>
          <w:szCs w:val="22"/>
          <w:lang w:val="es-MX"/>
        </w:rPr>
        <w:t xml:space="preserve">A </w:t>
      </w:r>
      <w:r w:rsidR="002637A3">
        <w:rPr>
          <w:sz w:val="22"/>
          <w:szCs w:val="22"/>
          <w:lang w:val="es-MX"/>
        </w:rPr>
        <w:t>31 De diciembre</w:t>
      </w:r>
      <w:r w:rsidR="00563BEB">
        <w:rPr>
          <w:sz w:val="22"/>
          <w:szCs w:val="22"/>
          <w:lang w:val="es-MX"/>
        </w:rPr>
        <w:t xml:space="preserve"> de 201</w:t>
      </w:r>
      <w:r w:rsidR="00646BCE">
        <w:rPr>
          <w:sz w:val="22"/>
          <w:szCs w:val="22"/>
          <w:lang w:val="es-MX"/>
        </w:rPr>
        <w:t>9</w:t>
      </w:r>
      <w:r w:rsidR="0036426D" w:rsidRPr="0077747A">
        <w:rPr>
          <w:sz w:val="22"/>
          <w:szCs w:val="22"/>
          <w:lang w:val="es-MX"/>
        </w:rPr>
        <w:t xml:space="preserve">, la unidad ejecutora 01 </w:t>
      </w:r>
      <w:r w:rsidR="00582A93">
        <w:rPr>
          <w:sz w:val="22"/>
          <w:szCs w:val="22"/>
          <w:lang w:val="es-MX"/>
        </w:rPr>
        <w:t xml:space="preserve">presenta una </w:t>
      </w:r>
      <w:r w:rsidR="0036426D" w:rsidRPr="0077747A">
        <w:rPr>
          <w:sz w:val="22"/>
          <w:szCs w:val="22"/>
          <w:lang w:val="es-MX"/>
        </w:rPr>
        <w:t xml:space="preserve">ejecución presupuestal del </w:t>
      </w:r>
      <w:r w:rsidR="00AC3063">
        <w:rPr>
          <w:sz w:val="22"/>
          <w:szCs w:val="22"/>
          <w:lang w:val="es-MX"/>
        </w:rPr>
        <w:t>9</w:t>
      </w:r>
      <w:r w:rsidR="00FB489E">
        <w:rPr>
          <w:sz w:val="22"/>
          <w:szCs w:val="22"/>
          <w:lang w:val="es-MX"/>
        </w:rPr>
        <w:t>8.89</w:t>
      </w:r>
      <w:r w:rsidR="00AC3063">
        <w:rPr>
          <w:sz w:val="22"/>
          <w:szCs w:val="22"/>
          <w:lang w:val="es-MX"/>
        </w:rPr>
        <w:t>%</w:t>
      </w:r>
      <w:r w:rsidR="0036426D" w:rsidRPr="0077747A">
        <w:rPr>
          <w:sz w:val="22"/>
          <w:szCs w:val="22"/>
          <w:lang w:val="es-MX"/>
        </w:rPr>
        <w:t>; porcentaje correspondiente a los compromisos acumulados por la suma de $</w:t>
      </w:r>
      <w:r w:rsidR="00DD1E35">
        <w:rPr>
          <w:sz w:val="22"/>
          <w:szCs w:val="22"/>
          <w:lang w:val="es-MX"/>
        </w:rPr>
        <w:t xml:space="preserve"> </w:t>
      </w:r>
      <w:r w:rsidR="00AC3063">
        <w:rPr>
          <w:sz w:val="22"/>
          <w:szCs w:val="22"/>
          <w:lang w:val="es-MX"/>
        </w:rPr>
        <w:t>1</w:t>
      </w:r>
      <w:r w:rsidR="00FB489E">
        <w:rPr>
          <w:sz w:val="22"/>
          <w:szCs w:val="22"/>
          <w:lang w:val="es-MX"/>
        </w:rPr>
        <w:t>65.108.880.542</w:t>
      </w:r>
      <w:r w:rsidR="00CE0766">
        <w:rPr>
          <w:sz w:val="22"/>
          <w:szCs w:val="22"/>
          <w:lang w:val="es-MX"/>
        </w:rPr>
        <w:t xml:space="preserve"> </w:t>
      </w:r>
      <w:r w:rsidR="0036426D" w:rsidRPr="0077747A">
        <w:rPr>
          <w:sz w:val="22"/>
          <w:szCs w:val="22"/>
          <w:lang w:val="es-MX"/>
        </w:rPr>
        <w:t>de los $</w:t>
      </w:r>
      <w:r w:rsidR="00AC3063">
        <w:rPr>
          <w:sz w:val="22"/>
          <w:szCs w:val="22"/>
          <w:lang w:val="es-MX"/>
        </w:rPr>
        <w:t>1</w:t>
      </w:r>
      <w:r w:rsidR="00FB489E">
        <w:rPr>
          <w:sz w:val="22"/>
          <w:szCs w:val="22"/>
          <w:lang w:val="es-MX"/>
        </w:rPr>
        <w:t>66.960.255.594</w:t>
      </w:r>
      <w:r w:rsidR="00844318">
        <w:rPr>
          <w:sz w:val="22"/>
          <w:szCs w:val="22"/>
          <w:lang w:val="es-MX"/>
        </w:rPr>
        <w:t xml:space="preserve"> </w:t>
      </w:r>
      <w:r w:rsidR="0036426D" w:rsidRPr="0077747A">
        <w:rPr>
          <w:sz w:val="22"/>
          <w:szCs w:val="22"/>
          <w:lang w:val="es-MX"/>
        </w:rPr>
        <w:t xml:space="preserve">asignados para la vigencia fiscal </w:t>
      </w:r>
      <w:r w:rsidR="003619AD">
        <w:rPr>
          <w:sz w:val="22"/>
          <w:szCs w:val="22"/>
          <w:lang w:val="es-MX"/>
        </w:rPr>
        <w:t xml:space="preserve">de </w:t>
      </w:r>
      <w:r w:rsidR="001A2074">
        <w:rPr>
          <w:sz w:val="22"/>
          <w:szCs w:val="22"/>
          <w:lang w:val="es-MX"/>
        </w:rPr>
        <w:t>201</w:t>
      </w:r>
      <w:r w:rsidR="00FB489E">
        <w:rPr>
          <w:sz w:val="22"/>
          <w:szCs w:val="22"/>
          <w:lang w:val="es-MX"/>
        </w:rPr>
        <w:t>9</w:t>
      </w:r>
      <w:r w:rsidR="0036426D" w:rsidRPr="0077747A">
        <w:rPr>
          <w:sz w:val="22"/>
          <w:szCs w:val="22"/>
          <w:lang w:val="es-MX"/>
        </w:rPr>
        <w:t xml:space="preserve"> </w:t>
      </w:r>
      <w:r w:rsidR="003619AD">
        <w:rPr>
          <w:sz w:val="22"/>
          <w:szCs w:val="22"/>
          <w:lang w:val="es-MX"/>
        </w:rPr>
        <w:t>para</w:t>
      </w:r>
      <w:r w:rsidR="0036426D" w:rsidRPr="0077747A">
        <w:rPr>
          <w:sz w:val="22"/>
          <w:szCs w:val="22"/>
          <w:lang w:val="es-MX"/>
        </w:rPr>
        <w:t xml:space="preserve"> la unidad ejecutora 01 de la Contraloría de Bogotá</w:t>
      </w:r>
      <w:r w:rsidR="001A2074">
        <w:rPr>
          <w:sz w:val="22"/>
          <w:szCs w:val="22"/>
          <w:lang w:val="es-MX"/>
        </w:rPr>
        <w:t xml:space="preserve"> D.C</w:t>
      </w:r>
      <w:r w:rsidR="00EE0B7E" w:rsidRPr="00F97C62">
        <w:rPr>
          <w:sz w:val="22"/>
          <w:szCs w:val="22"/>
          <w:lang w:val="es-MX"/>
        </w:rPr>
        <w:t xml:space="preserve">. </w:t>
      </w:r>
      <w:r w:rsidR="001C3A4B" w:rsidRPr="00F97C62">
        <w:rPr>
          <w:sz w:val="22"/>
          <w:szCs w:val="22"/>
          <w:lang w:val="es-MX"/>
        </w:rPr>
        <w:t>Este indicador</w:t>
      </w:r>
      <w:r w:rsidR="00EE0B7E" w:rsidRPr="00F97C62">
        <w:rPr>
          <w:sz w:val="22"/>
          <w:szCs w:val="22"/>
          <w:lang w:val="es-MX"/>
        </w:rPr>
        <w:t xml:space="preserve"> finalizo con </w:t>
      </w:r>
      <w:r w:rsidR="001C3A4B" w:rsidRPr="00F97C62">
        <w:rPr>
          <w:sz w:val="22"/>
          <w:szCs w:val="22"/>
          <w:lang w:val="es-MX"/>
        </w:rPr>
        <w:t>un rango</w:t>
      </w:r>
      <w:r w:rsidR="00EE0B7E" w:rsidRPr="00F97C62">
        <w:rPr>
          <w:sz w:val="22"/>
          <w:szCs w:val="22"/>
          <w:lang w:val="es-MX"/>
        </w:rPr>
        <w:t xml:space="preserve"> de calificación de </w:t>
      </w:r>
      <w:r w:rsidR="001C3A4B" w:rsidRPr="00F97C62">
        <w:rPr>
          <w:sz w:val="22"/>
          <w:szCs w:val="22"/>
          <w:lang w:val="es-MX"/>
        </w:rPr>
        <w:t>resultado satisfactorio</w:t>
      </w:r>
      <w:r w:rsidR="00EE0B7E" w:rsidRPr="00F97C62">
        <w:rPr>
          <w:sz w:val="22"/>
          <w:szCs w:val="22"/>
          <w:lang w:val="es-MX"/>
        </w:rPr>
        <w:t>.</w:t>
      </w:r>
      <w:r w:rsidR="00DF3228" w:rsidRPr="00F97C62">
        <w:rPr>
          <w:color w:val="000000" w:themeColor="text1"/>
          <w:sz w:val="22"/>
          <w:szCs w:val="22"/>
          <w:lang w:val="es-MX"/>
        </w:rPr>
        <w:t xml:space="preserve"> </w:t>
      </w:r>
      <w:r w:rsidR="00DF3228" w:rsidRPr="00F97C62">
        <w:rPr>
          <w:sz w:val="22"/>
          <w:szCs w:val="22"/>
          <w:lang w:val="es-MX"/>
        </w:rPr>
        <w:t>Tal como se muestra en el siguiente cuadro:</w:t>
      </w:r>
    </w:p>
    <w:p w:rsidR="00BB494A" w:rsidRDefault="00BB494A" w:rsidP="00BB494A">
      <w:pPr>
        <w:pStyle w:val="CUERPO1"/>
        <w:spacing w:line="276" w:lineRule="auto"/>
        <w:jc w:val="center"/>
        <w:rPr>
          <w:sz w:val="22"/>
          <w:szCs w:val="22"/>
          <w:lang w:val="es-MX"/>
        </w:rPr>
      </w:pPr>
      <w:r>
        <w:rPr>
          <w:sz w:val="22"/>
          <w:szCs w:val="22"/>
          <w:lang w:val="es-MX"/>
        </w:rPr>
        <w:t>CUADRO 4</w:t>
      </w:r>
    </w:p>
    <w:tbl>
      <w:tblPr>
        <w:tblW w:w="9552" w:type="dxa"/>
        <w:tblInd w:w="-5" w:type="dxa"/>
        <w:tblCellMar>
          <w:left w:w="70" w:type="dxa"/>
          <w:right w:w="70" w:type="dxa"/>
        </w:tblCellMar>
        <w:tblLook w:val="04A0" w:firstRow="1" w:lastRow="0" w:firstColumn="1" w:lastColumn="0" w:noHBand="0" w:noVBand="1"/>
      </w:tblPr>
      <w:tblGrid>
        <w:gridCol w:w="1601"/>
        <w:gridCol w:w="2085"/>
        <w:gridCol w:w="1843"/>
        <w:gridCol w:w="1920"/>
        <w:gridCol w:w="2103"/>
      </w:tblGrid>
      <w:tr w:rsidR="008D135D" w:rsidRPr="00FF6998" w:rsidTr="008A3433">
        <w:trPr>
          <w:trHeight w:val="780"/>
        </w:trPr>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5D" w:rsidRPr="00FF6998" w:rsidRDefault="008D135D" w:rsidP="008A3433">
            <w:pPr>
              <w:spacing w:after="0" w:line="240" w:lineRule="auto"/>
              <w:jc w:val="center"/>
              <w:rPr>
                <w:rFonts w:ascii="Arial" w:hAnsi="Arial" w:cs="Arial"/>
                <w:b/>
                <w:bCs/>
                <w:sz w:val="18"/>
                <w:szCs w:val="16"/>
              </w:rPr>
            </w:pPr>
            <w:r w:rsidRPr="00FF6998">
              <w:rPr>
                <w:rFonts w:ascii="Arial" w:hAnsi="Arial" w:cs="Arial"/>
                <w:b/>
                <w:bCs/>
                <w:sz w:val="18"/>
                <w:szCs w:val="16"/>
              </w:rPr>
              <w:t>CODIGO PRESUPUESTAL</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8D135D" w:rsidRPr="00FF6998" w:rsidRDefault="008D135D" w:rsidP="008A3433">
            <w:pPr>
              <w:spacing w:after="0" w:line="240" w:lineRule="auto"/>
              <w:jc w:val="center"/>
              <w:rPr>
                <w:rFonts w:ascii="Arial" w:hAnsi="Arial" w:cs="Arial"/>
                <w:b/>
                <w:bCs/>
                <w:sz w:val="18"/>
                <w:szCs w:val="16"/>
              </w:rPr>
            </w:pPr>
            <w:r w:rsidRPr="00FF6998">
              <w:rPr>
                <w:rFonts w:ascii="Arial" w:hAnsi="Arial" w:cs="Arial"/>
                <w:b/>
                <w:bCs/>
                <w:sz w:val="18"/>
                <w:szCs w:val="16"/>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135D" w:rsidRPr="00FF6998" w:rsidRDefault="008D135D" w:rsidP="008A3433">
            <w:pPr>
              <w:spacing w:after="0" w:line="240" w:lineRule="auto"/>
              <w:jc w:val="center"/>
              <w:rPr>
                <w:rFonts w:ascii="Arial" w:hAnsi="Arial" w:cs="Arial"/>
                <w:b/>
                <w:bCs/>
                <w:sz w:val="18"/>
                <w:szCs w:val="16"/>
              </w:rPr>
            </w:pPr>
            <w:r w:rsidRPr="00FF6998">
              <w:rPr>
                <w:rFonts w:ascii="Arial" w:hAnsi="Arial" w:cs="Arial"/>
                <w:b/>
                <w:bCs/>
                <w:sz w:val="18"/>
                <w:szCs w:val="16"/>
              </w:rPr>
              <w:t>APROPIACION VIGENTE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D135D" w:rsidRPr="00FF6998" w:rsidRDefault="008D135D" w:rsidP="008A3433">
            <w:pPr>
              <w:spacing w:after="0" w:line="240" w:lineRule="auto"/>
              <w:jc w:val="center"/>
              <w:rPr>
                <w:rFonts w:ascii="Arial" w:hAnsi="Arial" w:cs="Arial"/>
                <w:b/>
                <w:bCs/>
                <w:sz w:val="18"/>
                <w:szCs w:val="16"/>
              </w:rPr>
            </w:pPr>
            <w:r>
              <w:rPr>
                <w:rFonts w:ascii="Arial" w:hAnsi="Arial" w:cs="Arial"/>
                <w:b/>
                <w:bCs/>
                <w:sz w:val="18"/>
                <w:szCs w:val="16"/>
              </w:rPr>
              <w:t>TOTAL, COMPROMISOS ACUMULADOS</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8D135D" w:rsidRPr="00FF6998" w:rsidRDefault="008D135D" w:rsidP="008A3433">
            <w:pPr>
              <w:spacing w:after="0" w:line="240" w:lineRule="auto"/>
              <w:jc w:val="center"/>
              <w:rPr>
                <w:rFonts w:ascii="Arial" w:hAnsi="Arial" w:cs="Arial"/>
                <w:b/>
                <w:bCs/>
                <w:sz w:val="18"/>
                <w:szCs w:val="16"/>
              </w:rPr>
            </w:pPr>
            <w:r>
              <w:rPr>
                <w:rFonts w:ascii="Arial" w:hAnsi="Arial" w:cs="Arial"/>
                <w:b/>
                <w:bCs/>
                <w:sz w:val="18"/>
                <w:szCs w:val="16"/>
              </w:rPr>
              <w:t>EJECUCION PRESUPUESTAL</w:t>
            </w:r>
            <w:r w:rsidRPr="00FF6998">
              <w:rPr>
                <w:rFonts w:ascii="Arial" w:hAnsi="Arial" w:cs="Arial"/>
                <w:b/>
                <w:bCs/>
                <w:sz w:val="18"/>
                <w:szCs w:val="16"/>
              </w:rPr>
              <w:t xml:space="preserve"> %</w:t>
            </w:r>
          </w:p>
        </w:tc>
      </w:tr>
      <w:tr w:rsidR="008D135D" w:rsidRPr="00FF6998" w:rsidTr="008A343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rPr>
                <w:rFonts w:ascii="Arial" w:hAnsi="Arial" w:cs="Arial"/>
                <w:sz w:val="18"/>
              </w:rPr>
            </w:pPr>
            <w:r w:rsidRPr="00FF6998">
              <w:rPr>
                <w:rFonts w:ascii="Arial" w:hAnsi="Arial" w:cs="Arial"/>
                <w:sz w:val="18"/>
              </w:rPr>
              <w:t>3-1-1</w:t>
            </w:r>
          </w:p>
        </w:tc>
        <w:tc>
          <w:tcPr>
            <w:tcW w:w="2085" w:type="dxa"/>
            <w:tcBorders>
              <w:top w:val="nil"/>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rPr>
                <w:rFonts w:ascii="Arial" w:hAnsi="Arial" w:cs="Arial"/>
                <w:sz w:val="18"/>
              </w:rPr>
            </w:pPr>
            <w:r w:rsidRPr="00FF6998">
              <w:rPr>
                <w:rFonts w:ascii="Arial" w:hAnsi="Arial" w:cs="Arial"/>
                <w:sz w:val="18"/>
              </w:rPr>
              <w:t>SERVICIOS PERSONALES</w:t>
            </w:r>
            <w:r>
              <w:rPr>
                <w:rFonts w:ascii="Arial" w:hAnsi="Arial" w:cs="Arial"/>
                <w:sz w:val="18"/>
              </w:rPr>
              <w:t xml:space="preserve"> (GASTOS DE PERSONAL)</w:t>
            </w:r>
          </w:p>
        </w:tc>
        <w:tc>
          <w:tcPr>
            <w:tcW w:w="1843" w:type="dxa"/>
            <w:tcBorders>
              <w:top w:val="nil"/>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jc w:val="right"/>
              <w:rPr>
                <w:rFonts w:ascii="Arial" w:hAnsi="Arial" w:cs="Arial"/>
                <w:sz w:val="18"/>
              </w:rPr>
            </w:pPr>
            <w:r w:rsidRPr="00FF6998">
              <w:rPr>
                <w:rFonts w:ascii="Arial" w:hAnsi="Arial" w:cs="Arial"/>
                <w:sz w:val="18"/>
              </w:rPr>
              <w:t>12</w:t>
            </w:r>
            <w:r>
              <w:rPr>
                <w:rFonts w:ascii="Arial" w:hAnsi="Arial" w:cs="Arial"/>
                <w:sz w:val="18"/>
              </w:rPr>
              <w:t>9.763.147.111</w:t>
            </w:r>
          </w:p>
        </w:tc>
        <w:tc>
          <w:tcPr>
            <w:tcW w:w="1920" w:type="dxa"/>
            <w:tcBorders>
              <w:top w:val="nil"/>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jc w:val="right"/>
              <w:rPr>
                <w:rFonts w:ascii="Arial" w:hAnsi="Arial" w:cs="Arial"/>
                <w:sz w:val="18"/>
              </w:rPr>
            </w:pPr>
            <w:r w:rsidRPr="00FF6998">
              <w:rPr>
                <w:rFonts w:ascii="Arial" w:hAnsi="Arial" w:cs="Arial"/>
                <w:sz w:val="18"/>
              </w:rPr>
              <w:t>12</w:t>
            </w:r>
            <w:r>
              <w:rPr>
                <w:rFonts w:ascii="Arial" w:hAnsi="Arial" w:cs="Arial"/>
                <w:sz w:val="18"/>
              </w:rPr>
              <w:t>9.559.100.112</w:t>
            </w:r>
          </w:p>
        </w:tc>
        <w:tc>
          <w:tcPr>
            <w:tcW w:w="2103" w:type="dxa"/>
            <w:tcBorders>
              <w:top w:val="nil"/>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jc w:val="right"/>
              <w:rPr>
                <w:rFonts w:ascii="Arial" w:hAnsi="Arial" w:cs="Arial"/>
                <w:sz w:val="18"/>
              </w:rPr>
            </w:pPr>
            <w:r w:rsidRPr="00FF6998">
              <w:rPr>
                <w:rFonts w:ascii="Arial" w:hAnsi="Arial" w:cs="Arial"/>
                <w:sz w:val="18"/>
              </w:rPr>
              <w:t>99.</w:t>
            </w:r>
            <w:r>
              <w:rPr>
                <w:rFonts w:ascii="Arial" w:hAnsi="Arial" w:cs="Arial"/>
                <w:sz w:val="18"/>
              </w:rPr>
              <w:t>84</w:t>
            </w:r>
          </w:p>
        </w:tc>
      </w:tr>
      <w:tr w:rsidR="008D135D" w:rsidRPr="00FF6998" w:rsidTr="008A3433">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rPr>
                <w:rFonts w:ascii="Arial" w:hAnsi="Arial" w:cs="Arial"/>
                <w:sz w:val="18"/>
              </w:rPr>
            </w:pPr>
            <w:r w:rsidRPr="00FF6998">
              <w:rPr>
                <w:rFonts w:ascii="Arial" w:hAnsi="Arial" w:cs="Arial"/>
                <w:sz w:val="18"/>
              </w:rPr>
              <w:t>3-1-2</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rPr>
                <w:rFonts w:ascii="Arial" w:hAnsi="Arial" w:cs="Arial"/>
                <w:sz w:val="18"/>
              </w:rPr>
            </w:pPr>
            <w:r w:rsidRPr="00FF6998">
              <w:rPr>
                <w:rFonts w:ascii="Arial" w:hAnsi="Arial" w:cs="Arial"/>
                <w:sz w:val="18"/>
              </w:rPr>
              <w:t>GASTOS GENERALES</w:t>
            </w:r>
            <w:r>
              <w:rPr>
                <w:rFonts w:ascii="Arial" w:hAnsi="Arial" w:cs="Arial"/>
                <w:sz w:val="18"/>
              </w:rPr>
              <w:t xml:space="preserve"> (ADQUISICION DE BIENES Y SERVICIOS)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jc w:val="right"/>
              <w:rPr>
                <w:rFonts w:ascii="Arial" w:hAnsi="Arial" w:cs="Arial"/>
                <w:sz w:val="18"/>
              </w:rPr>
            </w:pPr>
            <w:r>
              <w:rPr>
                <w:rFonts w:ascii="Arial" w:hAnsi="Arial" w:cs="Arial"/>
                <w:sz w:val="18"/>
              </w:rPr>
              <w:t>11.170.705.000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jc w:val="right"/>
              <w:rPr>
                <w:rFonts w:ascii="Arial" w:hAnsi="Arial" w:cs="Arial"/>
                <w:sz w:val="18"/>
              </w:rPr>
            </w:pPr>
            <w:r>
              <w:rPr>
                <w:rFonts w:ascii="Arial" w:hAnsi="Arial" w:cs="Arial"/>
                <w:sz w:val="18"/>
              </w:rPr>
              <w:t>10.022.763.617</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8D135D" w:rsidRPr="00FF6998" w:rsidRDefault="008D135D" w:rsidP="008A3433">
            <w:pPr>
              <w:spacing w:after="0" w:line="240" w:lineRule="auto"/>
              <w:jc w:val="right"/>
              <w:rPr>
                <w:rFonts w:ascii="Arial" w:hAnsi="Arial" w:cs="Arial"/>
                <w:sz w:val="18"/>
              </w:rPr>
            </w:pPr>
            <w:r>
              <w:rPr>
                <w:rFonts w:ascii="Arial" w:hAnsi="Arial" w:cs="Arial"/>
                <w:sz w:val="18"/>
              </w:rPr>
              <w:t>89.72</w:t>
            </w:r>
          </w:p>
        </w:tc>
      </w:tr>
      <w:tr w:rsidR="008D135D" w:rsidRPr="00FF6998" w:rsidTr="008A3433">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35D" w:rsidRPr="00FF6998" w:rsidRDefault="008D135D" w:rsidP="008A3433">
            <w:pPr>
              <w:spacing w:after="0" w:line="240" w:lineRule="auto"/>
              <w:rPr>
                <w:rFonts w:ascii="Arial" w:hAnsi="Arial" w:cs="Arial"/>
                <w:sz w:val="18"/>
              </w:rPr>
            </w:pPr>
            <w:r>
              <w:rPr>
                <w:rFonts w:ascii="Arial" w:hAnsi="Arial" w:cs="Arial"/>
                <w:sz w:val="18"/>
              </w:rPr>
              <w:lastRenderedPageBreak/>
              <w:t>3-1-3</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8D135D" w:rsidRPr="00FF6998" w:rsidRDefault="008D135D" w:rsidP="008A3433">
            <w:pPr>
              <w:spacing w:after="0" w:line="240" w:lineRule="auto"/>
              <w:rPr>
                <w:rFonts w:ascii="Arial" w:hAnsi="Arial" w:cs="Arial"/>
                <w:sz w:val="18"/>
              </w:rPr>
            </w:pPr>
            <w:r>
              <w:rPr>
                <w:rFonts w:ascii="Arial" w:hAnsi="Arial" w:cs="Arial"/>
                <w:sz w:val="18"/>
              </w:rPr>
              <w:t>GASTOS DIVERSOS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64.500.000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44.559.000</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69.08</w:t>
            </w:r>
          </w:p>
        </w:tc>
      </w:tr>
      <w:tr w:rsidR="008D135D" w:rsidRPr="00FF6998" w:rsidTr="008A3433">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35D" w:rsidRPr="00FF6998" w:rsidRDefault="008D135D" w:rsidP="008A3433">
            <w:pPr>
              <w:spacing w:after="0" w:line="240" w:lineRule="auto"/>
              <w:rPr>
                <w:rFonts w:ascii="Arial" w:hAnsi="Arial" w:cs="Arial"/>
                <w:sz w:val="18"/>
              </w:rPr>
            </w:pPr>
            <w:r>
              <w:rPr>
                <w:rFonts w:ascii="Arial" w:hAnsi="Arial" w:cs="Arial"/>
                <w:sz w:val="18"/>
              </w:rPr>
              <w:t>3-1-5</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8D135D" w:rsidRPr="00FF6998" w:rsidRDefault="008D135D" w:rsidP="008A3433">
            <w:pPr>
              <w:spacing w:after="0" w:line="240" w:lineRule="auto"/>
              <w:rPr>
                <w:rFonts w:ascii="Arial" w:hAnsi="Arial" w:cs="Arial"/>
                <w:sz w:val="18"/>
              </w:rPr>
            </w:pPr>
            <w:r>
              <w:rPr>
                <w:rFonts w:ascii="Arial" w:hAnsi="Arial" w:cs="Arial"/>
                <w:sz w:val="18"/>
              </w:rPr>
              <w:t>TRANSFERENCIAS CORRIENTES DE FUNCIONAMIENTO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3.565.716.483</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3.561.315.849</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99.88</w:t>
            </w:r>
          </w:p>
        </w:tc>
      </w:tr>
      <w:tr w:rsidR="008D135D" w:rsidRPr="00FF6998" w:rsidTr="008A3433">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35D" w:rsidRDefault="008D135D" w:rsidP="008A3433">
            <w:pPr>
              <w:spacing w:after="0" w:line="240" w:lineRule="auto"/>
              <w:rPr>
                <w:rFonts w:ascii="Arial" w:hAnsi="Arial" w:cs="Arial"/>
                <w:sz w:val="18"/>
              </w:rPr>
            </w:pPr>
            <w:r>
              <w:rPr>
                <w:rFonts w:ascii="Arial" w:hAnsi="Arial" w:cs="Arial"/>
                <w:sz w:val="18"/>
              </w:rPr>
              <w:t>3-3-1</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rPr>
                <w:rFonts w:ascii="Arial" w:hAnsi="Arial" w:cs="Arial"/>
                <w:sz w:val="18"/>
              </w:rPr>
            </w:pPr>
            <w:r>
              <w:rPr>
                <w:rFonts w:ascii="Arial" w:hAnsi="Arial" w:cs="Arial"/>
                <w:sz w:val="18"/>
              </w:rPr>
              <w:t>INVERSIO DIRECTA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22.396.187.000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21.921.141.964</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97.88</w:t>
            </w:r>
          </w:p>
        </w:tc>
      </w:tr>
      <w:tr w:rsidR="008D135D" w:rsidRPr="00FF6998" w:rsidTr="008A3433">
        <w:trPr>
          <w:trHeight w:val="255"/>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35D" w:rsidRPr="008D135D" w:rsidRDefault="008D135D" w:rsidP="008D135D">
            <w:pPr>
              <w:spacing w:after="0" w:line="240" w:lineRule="auto"/>
              <w:jc w:val="center"/>
              <w:rPr>
                <w:rFonts w:ascii="Arial" w:hAnsi="Arial" w:cs="Arial"/>
                <w:b/>
                <w:sz w:val="18"/>
              </w:rPr>
            </w:pPr>
            <w:r>
              <w:rPr>
                <w:rFonts w:ascii="Arial" w:hAnsi="Arial" w:cs="Arial"/>
                <w:b/>
                <w:sz w:val="18"/>
              </w:rPr>
              <w:t>TOTAL</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rPr>
                <w:rFonts w:ascii="Arial" w:hAnsi="Arial" w:cs="Arial"/>
                <w:sz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166.960.255.594</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165.108.880.542</w:t>
            </w:r>
          </w:p>
        </w:tc>
        <w:tc>
          <w:tcPr>
            <w:tcW w:w="2103" w:type="dxa"/>
            <w:tcBorders>
              <w:top w:val="single" w:sz="4" w:space="0" w:color="auto"/>
              <w:left w:val="nil"/>
              <w:bottom w:val="single" w:sz="4" w:space="0" w:color="auto"/>
              <w:right w:val="single" w:sz="4" w:space="0" w:color="auto"/>
            </w:tcBorders>
            <w:shd w:val="clear" w:color="auto" w:fill="auto"/>
            <w:noWrap/>
            <w:vAlign w:val="center"/>
          </w:tcPr>
          <w:p w:rsidR="008D135D" w:rsidRDefault="008D135D" w:rsidP="008A3433">
            <w:pPr>
              <w:spacing w:after="0" w:line="240" w:lineRule="auto"/>
              <w:jc w:val="right"/>
              <w:rPr>
                <w:rFonts w:ascii="Arial" w:hAnsi="Arial" w:cs="Arial"/>
                <w:sz w:val="18"/>
              </w:rPr>
            </w:pPr>
            <w:r>
              <w:rPr>
                <w:rFonts w:ascii="Arial" w:hAnsi="Arial" w:cs="Arial"/>
                <w:sz w:val="18"/>
              </w:rPr>
              <w:t>98.89</w:t>
            </w:r>
          </w:p>
        </w:tc>
      </w:tr>
    </w:tbl>
    <w:p w:rsidR="0095685D" w:rsidRDefault="0095685D" w:rsidP="0004451E">
      <w:pPr>
        <w:pStyle w:val="CUERPO1"/>
        <w:spacing w:line="276" w:lineRule="auto"/>
        <w:rPr>
          <w:sz w:val="22"/>
          <w:szCs w:val="22"/>
          <w:lang w:val="es-MX"/>
        </w:rPr>
      </w:pPr>
    </w:p>
    <w:p w:rsidR="0095685D" w:rsidRDefault="0095685D" w:rsidP="0004451E">
      <w:pPr>
        <w:pStyle w:val="CUERPO1"/>
        <w:spacing w:line="276" w:lineRule="auto"/>
        <w:rPr>
          <w:sz w:val="22"/>
          <w:szCs w:val="22"/>
          <w:lang w:val="es-MX"/>
        </w:rPr>
      </w:pPr>
    </w:p>
    <w:p w:rsidR="002D718F" w:rsidRDefault="002D718F" w:rsidP="005F13AD">
      <w:pPr>
        <w:pStyle w:val="CUERPO1"/>
        <w:spacing w:line="276" w:lineRule="auto"/>
        <w:jc w:val="center"/>
        <w:rPr>
          <w:sz w:val="22"/>
          <w:szCs w:val="22"/>
        </w:rPr>
      </w:pPr>
    </w:p>
    <w:p w:rsidR="00F97C62" w:rsidRDefault="00F97C62" w:rsidP="005F13AD">
      <w:pPr>
        <w:pStyle w:val="CUERPO1"/>
        <w:spacing w:line="276" w:lineRule="auto"/>
        <w:rPr>
          <w:sz w:val="22"/>
          <w:szCs w:val="22"/>
        </w:rPr>
      </w:pPr>
    </w:p>
    <w:p w:rsidR="00061448" w:rsidRDefault="0004451E" w:rsidP="005F13AD">
      <w:pPr>
        <w:pStyle w:val="CUERPO1"/>
        <w:spacing w:line="276" w:lineRule="auto"/>
        <w:rPr>
          <w:sz w:val="22"/>
          <w:szCs w:val="22"/>
        </w:rPr>
      </w:pPr>
      <w:r w:rsidRPr="0004451E">
        <w:rPr>
          <w:sz w:val="22"/>
          <w:szCs w:val="22"/>
        </w:rPr>
        <w:t xml:space="preserve">Es preciso resaltar que el presupuesto asignado a la Contraloría de Bogotá D.C., está conformado por dos importantes rubros </w:t>
      </w:r>
      <w:r w:rsidR="003619AD">
        <w:rPr>
          <w:sz w:val="22"/>
          <w:szCs w:val="22"/>
        </w:rPr>
        <w:t>que corresponden a</w:t>
      </w:r>
      <w:r w:rsidRPr="0004451E">
        <w:rPr>
          <w:sz w:val="22"/>
          <w:szCs w:val="22"/>
        </w:rPr>
        <w:t>:</w:t>
      </w:r>
    </w:p>
    <w:p w:rsidR="00DC2AED" w:rsidRDefault="00DC2AED" w:rsidP="005F13AD">
      <w:pPr>
        <w:pStyle w:val="CUERPO1"/>
        <w:spacing w:line="276" w:lineRule="auto"/>
        <w:rPr>
          <w:sz w:val="22"/>
          <w:szCs w:val="22"/>
        </w:rPr>
      </w:pPr>
    </w:p>
    <w:p w:rsidR="0004451E" w:rsidRPr="0004451E" w:rsidRDefault="0004451E" w:rsidP="0004451E">
      <w:pPr>
        <w:pStyle w:val="CUERPO1"/>
        <w:numPr>
          <w:ilvl w:val="0"/>
          <w:numId w:val="4"/>
        </w:numPr>
        <w:spacing w:line="276" w:lineRule="auto"/>
        <w:rPr>
          <w:sz w:val="22"/>
          <w:szCs w:val="22"/>
        </w:rPr>
      </w:pPr>
      <w:r w:rsidRPr="009713AB">
        <w:rPr>
          <w:b/>
          <w:sz w:val="22"/>
          <w:szCs w:val="22"/>
        </w:rPr>
        <w:t>GASTOS DE FUNCIONAMIENTO:</w:t>
      </w:r>
      <w:r w:rsidRPr="0004451E">
        <w:rPr>
          <w:sz w:val="22"/>
          <w:szCs w:val="22"/>
        </w:rPr>
        <w:t xml:space="preserve"> Son las apropiaciones necesarias para el desarrollo de las actividades administrativas, técnicas y operativas.</w:t>
      </w:r>
    </w:p>
    <w:p w:rsidR="0004451E" w:rsidRPr="0004451E" w:rsidRDefault="00FB489E" w:rsidP="007338F6">
      <w:pPr>
        <w:pStyle w:val="CUERPO1"/>
        <w:numPr>
          <w:ilvl w:val="0"/>
          <w:numId w:val="19"/>
        </w:numPr>
        <w:spacing w:line="276" w:lineRule="auto"/>
        <w:rPr>
          <w:sz w:val="22"/>
          <w:szCs w:val="22"/>
        </w:rPr>
      </w:pPr>
      <w:r>
        <w:rPr>
          <w:b/>
          <w:sz w:val="22"/>
          <w:szCs w:val="22"/>
        </w:rPr>
        <w:t>Gastos De Personal:</w:t>
      </w:r>
      <w:r w:rsidRPr="00792E36">
        <w:rPr>
          <w:sz w:val="22"/>
          <w:szCs w:val="22"/>
        </w:rPr>
        <w:t xml:space="preserve"> </w:t>
      </w:r>
      <w:r w:rsidR="0004451E" w:rsidRPr="00792E36">
        <w:rPr>
          <w:sz w:val="22"/>
          <w:szCs w:val="22"/>
        </w:rPr>
        <w:t xml:space="preserve">Con participación del </w:t>
      </w:r>
      <w:r>
        <w:rPr>
          <w:sz w:val="22"/>
          <w:szCs w:val="22"/>
        </w:rPr>
        <w:t>7</w:t>
      </w:r>
      <w:r w:rsidR="006C3BFA">
        <w:rPr>
          <w:sz w:val="22"/>
          <w:szCs w:val="22"/>
        </w:rPr>
        <w:t>7.72</w:t>
      </w:r>
      <w:r w:rsidR="0004451E" w:rsidRPr="00792E36">
        <w:rPr>
          <w:sz w:val="22"/>
          <w:szCs w:val="22"/>
        </w:rPr>
        <w:t>% del total del presupuesto asignado para la vigencia 201</w:t>
      </w:r>
      <w:r>
        <w:rPr>
          <w:sz w:val="22"/>
          <w:szCs w:val="22"/>
        </w:rPr>
        <w:t>9</w:t>
      </w:r>
      <w:r w:rsidR="00563BEB">
        <w:rPr>
          <w:sz w:val="22"/>
          <w:szCs w:val="22"/>
        </w:rPr>
        <w:t xml:space="preserve">, a </w:t>
      </w:r>
      <w:r w:rsidR="00AC3063">
        <w:rPr>
          <w:sz w:val="22"/>
          <w:szCs w:val="22"/>
        </w:rPr>
        <w:t>diciembre</w:t>
      </w:r>
      <w:r w:rsidR="0023149E" w:rsidRPr="00792E36">
        <w:rPr>
          <w:sz w:val="22"/>
          <w:szCs w:val="22"/>
        </w:rPr>
        <w:t xml:space="preserve"> </w:t>
      </w:r>
      <w:r w:rsidR="00083FF1" w:rsidRPr="00792E36">
        <w:rPr>
          <w:sz w:val="22"/>
          <w:szCs w:val="22"/>
        </w:rPr>
        <w:t>3</w:t>
      </w:r>
      <w:r w:rsidR="00AC3063">
        <w:rPr>
          <w:sz w:val="22"/>
          <w:szCs w:val="22"/>
        </w:rPr>
        <w:t>1</w:t>
      </w:r>
      <w:r w:rsidR="0004451E" w:rsidRPr="0004451E">
        <w:rPr>
          <w:sz w:val="22"/>
          <w:szCs w:val="22"/>
        </w:rPr>
        <w:t xml:space="preserve"> obtuvo una ejecución presupuestal de </w:t>
      </w:r>
      <w:r w:rsidR="00AC3063">
        <w:rPr>
          <w:sz w:val="22"/>
          <w:szCs w:val="22"/>
        </w:rPr>
        <w:t>99.</w:t>
      </w:r>
      <w:r>
        <w:rPr>
          <w:sz w:val="22"/>
          <w:szCs w:val="22"/>
        </w:rPr>
        <w:t>84</w:t>
      </w:r>
      <w:r w:rsidR="00DF0EA3" w:rsidRPr="007338F6">
        <w:rPr>
          <w:sz w:val="22"/>
          <w:szCs w:val="22"/>
        </w:rPr>
        <w:t xml:space="preserve"> %</w:t>
      </w:r>
      <w:r w:rsidR="007338F6">
        <w:rPr>
          <w:sz w:val="22"/>
          <w:szCs w:val="22"/>
        </w:rPr>
        <w:t>.</w:t>
      </w:r>
    </w:p>
    <w:p w:rsidR="00217768" w:rsidRDefault="00FE0DBA" w:rsidP="007C4B31">
      <w:pPr>
        <w:pStyle w:val="CUERPO1"/>
        <w:numPr>
          <w:ilvl w:val="0"/>
          <w:numId w:val="19"/>
        </w:numPr>
        <w:spacing w:line="276" w:lineRule="auto"/>
        <w:rPr>
          <w:sz w:val="22"/>
          <w:szCs w:val="22"/>
        </w:rPr>
      </w:pPr>
      <w:r>
        <w:rPr>
          <w:b/>
          <w:sz w:val="22"/>
          <w:szCs w:val="22"/>
        </w:rPr>
        <w:t>Adquisición de bienes y servicios</w:t>
      </w:r>
      <w:r w:rsidR="0004451E" w:rsidRPr="00222ABC">
        <w:rPr>
          <w:b/>
          <w:sz w:val="22"/>
          <w:szCs w:val="22"/>
        </w:rPr>
        <w:t>:</w:t>
      </w:r>
      <w:r w:rsidR="00CE0766">
        <w:rPr>
          <w:sz w:val="22"/>
          <w:szCs w:val="22"/>
        </w:rPr>
        <w:t xml:space="preserve"> </w:t>
      </w:r>
      <w:r w:rsidR="00CE0766" w:rsidRPr="00792E36">
        <w:rPr>
          <w:sz w:val="22"/>
          <w:szCs w:val="22"/>
        </w:rPr>
        <w:t xml:space="preserve">Con participación del </w:t>
      </w:r>
      <w:r w:rsidR="006C3BFA">
        <w:rPr>
          <w:sz w:val="22"/>
          <w:szCs w:val="22"/>
        </w:rPr>
        <w:t>6.70</w:t>
      </w:r>
      <w:r w:rsidR="00792E36" w:rsidRPr="00792E36">
        <w:rPr>
          <w:sz w:val="22"/>
          <w:szCs w:val="22"/>
        </w:rPr>
        <w:t xml:space="preserve">% </w:t>
      </w:r>
      <w:r w:rsidR="0004451E" w:rsidRPr="00792E36">
        <w:rPr>
          <w:sz w:val="22"/>
          <w:szCs w:val="22"/>
        </w:rPr>
        <w:t>del total del presupuest</w:t>
      </w:r>
      <w:r w:rsidR="00A8420F" w:rsidRPr="00792E36">
        <w:rPr>
          <w:sz w:val="22"/>
          <w:szCs w:val="22"/>
        </w:rPr>
        <w:t>o asignado para la vigencia</w:t>
      </w:r>
      <w:r w:rsidR="00563BEB">
        <w:rPr>
          <w:sz w:val="22"/>
          <w:szCs w:val="22"/>
        </w:rPr>
        <w:t xml:space="preserve"> 201</w:t>
      </w:r>
      <w:r>
        <w:rPr>
          <w:sz w:val="22"/>
          <w:szCs w:val="22"/>
        </w:rPr>
        <w:t>9</w:t>
      </w:r>
      <w:r w:rsidR="00563BEB">
        <w:rPr>
          <w:sz w:val="22"/>
          <w:szCs w:val="22"/>
        </w:rPr>
        <w:t xml:space="preserve"> a </w:t>
      </w:r>
      <w:r w:rsidR="00AC3063">
        <w:rPr>
          <w:sz w:val="22"/>
          <w:szCs w:val="22"/>
        </w:rPr>
        <w:t>diciembre 31</w:t>
      </w:r>
      <w:r w:rsidR="0004451E" w:rsidRPr="00222ABC">
        <w:rPr>
          <w:sz w:val="22"/>
          <w:szCs w:val="22"/>
        </w:rPr>
        <w:t xml:space="preserve">. Se efectuó una ejecución presupuestal del </w:t>
      </w:r>
      <w:r>
        <w:rPr>
          <w:sz w:val="22"/>
          <w:szCs w:val="22"/>
        </w:rPr>
        <w:t>89.72</w:t>
      </w:r>
      <w:r w:rsidR="00222ABC" w:rsidRPr="00222ABC">
        <w:rPr>
          <w:sz w:val="22"/>
          <w:szCs w:val="22"/>
        </w:rPr>
        <w:t>%</w:t>
      </w:r>
      <w:r>
        <w:rPr>
          <w:sz w:val="22"/>
          <w:szCs w:val="22"/>
        </w:rPr>
        <w:t>.</w:t>
      </w:r>
    </w:p>
    <w:p w:rsidR="00FE0DBA" w:rsidRDefault="00FE0DBA" w:rsidP="00FE0DBA">
      <w:pPr>
        <w:pStyle w:val="CUERPO1"/>
        <w:numPr>
          <w:ilvl w:val="0"/>
          <w:numId w:val="19"/>
        </w:numPr>
        <w:spacing w:line="276" w:lineRule="auto"/>
        <w:rPr>
          <w:sz w:val="22"/>
          <w:szCs w:val="22"/>
        </w:rPr>
      </w:pPr>
      <w:r>
        <w:rPr>
          <w:b/>
          <w:sz w:val="22"/>
          <w:szCs w:val="22"/>
        </w:rPr>
        <w:t xml:space="preserve">Gastos Diversos: </w:t>
      </w:r>
      <w:r w:rsidRPr="00792E36">
        <w:rPr>
          <w:sz w:val="22"/>
          <w:szCs w:val="22"/>
        </w:rPr>
        <w:t xml:space="preserve">Con participación del </w:t>
      </w:r>
      <w:r w:rsidR="006C3BFA">
        <w:rPr>
          <w:sz w:val="22"/>
          <w:szCs w:val="22"/>
        </w:rPr>
        <w:t>0.04</w:t>
      </w:r>
      <w:r>
        <w:rPr>
          <w:sz w:val="22"/>
          <w:szCs w:val="22"/>
        </w:rPr>
        <w:t>%</w:t>
      </w:r>
      <w:r w:rsidRPr="00792E36">
        <w:rPr>
          <w:sz w:val="22"/>
          <w:szCs w:val="22"/>
        </w:rPr>
        <w:t>del total del presupuesto asignado para la vigencia</w:t>
      </w:r>
      <w:r>
        <w:rPr>
          <w:sz w:val="22"/>
          <w:szCs w:val="22"/>
        </w:rPr>
        <w:t xml:space="preserve"> 2019 a diciembre 31</w:t>
      </w:r>
      <w:r w:rsidRPr="00222ABC">
        <w:rPr>
          <w:sz w:val="22"/>
          <w:szCs w:val="22"/>
        </w:rPr>
        <w:t xml:space="preserve">. Se efectuó una ejecución presupuestal del </w:t>
      </w:r>
      <w:r w:rsidR="00EA7A3D">
        <w:rPr>
          <w:sz w:val="22"/>
          <w:szCs w:val="22"/>
        </w:rPr>
        <w:t>69.08</w:t>
      </w:r>
      <w:r w:rsidRPr="00222ABC">
        <w:rPr>
          <w:sz w:val="22"/>
          <w:szCs w:val="22"/>
        </w:rPr>
        <w:t>%</w:t>
      </w:r>
      <w:r>
        <w:rPr>
          <w:sz w:val="22"/>
          <w:szCs w:val="22"/>
        </w:rPr>
        <w:t>.</w:t>
      </w:r>
    </w:p>
    <w:p w:rsidR="006C3BFA" w:rsidRDefault="006C3BFA" w:rsidP="006C3BFA">
      <w:pPr>
        <w:pStyle w:val="CUERPO1"/>
        <w:numPr>
          <w:ilvl w:val="0"/>
          <w:numId w:val="19"/>
        </w:numPr>
        <w:spacing w:line="276" w:lineRule="auto"/>
        <w:rPr>
          <w:sz w:val="22"/>
          <w:szCs w:val="22"/>
        </w:rPr>
      </w:pPr>
      <w:r>
        <w:rPr>
          <w:b/>
          <w:sz w:val="22"/>
          <w:szCs w:val="22"/>
        </w:rPr>
        <w:t xml:space="preserve">Transferencias Corrientes de Funcionamiento: </w:t>
      </w:r>
      <w:r w:rsidRPr="00792E36">
        <w:rPr>
          <w:sz w:val="22"/>
          <w:szCs w:val="22"/>
        </w:rPr>
        <w:t xml:space="preserve">Con participación del </w:t>
      </w:r>
      <w:r>
        <w:rPr>
          <w:sz w:val="22"/>
          <w:szCs w:val="22"/>
        </w:rPr>
        <w:t>2.13%</w:t>
      </w:r>
      <w:r w:rsidRPr="00792E36">
        <w:rPr>
          <w:sz w:val="22"/>
          <w:szCs w:val="22"/>
        </w:rPr>
        <w:t>del total del presupuesto asignado para la vigencia</w:t>
      </w:r>
      <w:r>
        <w:rPr>
          <w:sz w:val="22"/>
          <w:szCs w:val="22"/>
        </w:rPr>
        <w:t xml:space="preserve"> 2019 a diciembre 31</w:t>
      </w:r>
      <w:r w:rsidRPr="00222ABC">
        <w:rPr>
          <w:sz w:val="22"/>
          <w:szCs w:val="22"/>
        </w:rPr>
        <w:t xml:space="preserve">. Se efectuó una ejecución presupuestal del </w:t>
      </w:r>
      <w:r>
        <w:rPr>
          <w:sz w:val="22"/>
          <w:szCs w:val="22"/>
        </w:rPr>
        <w:t>99.88</w:t>
      </w:r>
      <w:r w:rsidRPr="00222ABC">
        <w:rPr>
          <w:sz w:val="22"/>
          <w:szCs w:val="22"/>
        </w:rPr>
        <w:t>%</w:t>
      </w:r>
      <w:r>
        <w:rPr>
          <w:sz w:val="22"/>
          <w:szCs w:val="22"/>
        </w:rPr>
        <w:t>.</w:t>
      </w:r>
    </w:p>
    <w:p w:rsidR="00EA7A3D" w:rsidRDefault="006C3BFA" w:rsidP="00EA7A3D">
      <w:pPr>
        <w:pStyle w:val="CUERPO1"/>
        <w:numPr>
          <w:ilvl w:val="0"/>
          <w:numId w:val="19"/>
        </w:numPr>
        <w:spacing w:line="276" w:lineRule="auto"/>
        <w:rPr>
          <w:sz w:val="22"/>
          <w:szCs w:val="22"/>
        </w:rPr>
      </w:pPr>
      <w:r w:rsidRPr="006C3BFA">
        <w:rPr>
          <w:b/>
          <w:sz w:val="22"/>
          <w:szCs w:val="22"/>
        </w:rPr>
        <w:t>Inversión directa</w:t>
      </w:r>
      <w:r>
        <w:rPr>
          <w:sz w:val="22"/>
          <w:szCs w:val="22"/>
        </w:rPr>
        <w:t>:</w:t>
      </w:r>
      <w:r w:rsidR="00EA7A3D" w:rsidRPr="00EA7A3D">
        <w:rPr>
          <w:sz w:val="22"/>
          <w:szCs w:val="22"/>
        </w:rPr>
        <w:t xml:space="preserve"> </w:t>
      </w:r>
      <w:r w:rsidR="00EA7A3D" w:rsidRPr="00792E36">
        <w:rPr>
          <w:sz w:val="22"/>
          <w:szCs w:val="22"/>
        </w:rPr>
        <w:t xml:space="preserve">Con participación del </w:t>
      </w:r>
      <w:r w:rsidR="00EA7A3D">
        <w:rPr>
          <w:sz w:val="22"/>
          <w:szCs w:val="22"/>
        </w:rPr>
        <w:t>13.41%</w:t>
      </w:r>
      <w:r w:rsidR="00EA7A3D" w:rsidRPr="00792E36">
        <w:rPr>
          <w:sz w:val="22"/>
          <w:szCs w:val="22"/>
        </w:rPr>
        <w:t>del total del presupuesto asignado para la vigencia</w:t>
      </w:r>
      <w:r w:rsidR="00EA7A3D">
        <w:rPr>
          <w:sz w:val="22"/>
          <w:szCs w:val="22"/>
        </w:rPr>
        <w:t xml:space="preserve"> 2019 a diciembre 31</w:t>
      </w:r>
      <w:r w:rsidR="00EA7A3D" w:rsidRPr="00222ABC">
        <w:rPr>
          <w:sz w:val="22"/>
          <w:szCs w:val="22"/>
        </w:rPr>
        <w:t xml:space="preserve">. Se efectuó una ejecución presupuestal del </w:t>
      </w:r>
      <w:r w:rsidR="00EA7A3D">
        <w:rPr>
          <w:sz w:val="22"/>
          <w:szCs w:val="22"/>
        </w:rPr>
        <w:t>97.89</w:t>
      </w:r>
      <w:r w:rsidR="00EA7A3D" w:rsidRPr="00222ABC">
        <w:rPr>
          <w:sz w:val="22"/>
          <w:szCs w:val="22"/>
        </w:rPr>
        <w:t>%</w:t>
      </w:r>
      <w:r w:rsidR="00EA7A3D">
        <w:rPr>
          <w:sz w:val="22"/>
          <w:szCs w:val="22"/>
        </w:rPr>
        <w:t>.</w:t>
      </w:r>
    </w:p>
    <w:p w:rsidR="00FE0DBA" w:rsidRDefault="00FE0DBA" w:rsidP="00F73685">
      <w:pPr>
        <w:pStyle w:val="CUERPO1"/>
        <w:spacing w:line="276" w:lineRule="auto"/>
        <w:ind w:left="1080"/>
        <w:rPr>
          <w:sz w:val="22"/>
          <w:szCs w:val="22"/>
        </w:rPr>
      </w:pPr>
    </w:p>
    <w:p w:rsidR="00251B6A" w:rsidRDefault="00251B6A" w:rsidP="001B3874">
      <w:pPr>
        <w:pStyle w:val="CUERPO1"/>
        <w:spacing w:line="276" w:lineRule="auto"/>
        <w:ind w:left="1080"/>
        <w:rPr>
          <w:sz w:val="22"/>
          <w:szCs w:val="22"/>
        </w:rPr>
      </w:pPr>
    </w:p>
    <w:p w:rsidR="00DC2AED" w:rsidRDefault="00DC2AED" w:rsidP="00DC2AED">
      <w:pPr>
        <w:pStyle w:val="CUERPO1"/>
        <w:spacing w:line="276" w:lineRule="auto"/>
        <w:ind w:left="1080"/>
        <w:rPr>
          <w:sz w:val="22"/>
          <w:szCs w:val="22"/>
        </w:rPr>
      </w:pPr>
    </w:p>
    <w:p w:rsidR="0004451E" w:rsidRPr="00222ABC" w:rsidRDefault="0004451E" w:rsidP="00B0742A">
      <w:pPr>
        <w:pStyle w:val="CUERPO1"/>
        <w:numPr>
          <w:ilvl w:val="0"/>
          <w:numId w:val="4"/>
        </w:numPr>
        <w:spacing w:line="276" w:lineRule="auto"/>
        <w:rPr>
          <w:sz w:val="22"/>
          <w:szCs w:val="22"/>
        </w:rPr>
      </w:pPr>
      <w:r w:rsidRPr="00222ABC">
        <w:rPr>
          <w:b/>
          <w:sz w:val="22"/>
          <w:szCs w:val="22"/>
        </w:rPr>
        <w:lastRenderedPageBreak/>
        <w:t>INVERSIÓN</w:t>
      </w:r>
      <w:r w:rsidRPr="00222ABC">
        <w:rPr>
          <w:sz w:val="22"/>
          <w:szCs w:val="22"/>
        </w:rPr>
        <w:t>:</w:t>
      </w:r>
      <w:r w:rsidRPr="00222ABC">
        <w:rPr>
          <w:color w:val="000000"/>
          <w:sz w:val="22"/>
          <w:szCs w:val="22"/>
          <w:shd w:val="clear" w:color="auto" w:fill="FFFFFF"/>
        </w:rPr>
        <w:t xml:space="preserve"> Gastos en que incurre el Distrito para el desarrollo económico, social, cultural y ambiental de la ciudad, es decir, aquellos que contribuyen a mejorar el índice de calidad de vida de los ciudadanos y al cumplimiento del Plan de Desarrollo.</w:t>
      </w:r>
    </w:p>
    <w:p w:rsidR="0004451E" w:rsidRDefault="00251B6A" w:rsidP="00607C99">
      <w:pPr>
        <w:pStyle w:val="CUERPO1"/>
        <w:spacing w:line="276" w:lineRule="auto"/>
        <w:ind w:left="720"/>
        <w:rPr>
          <w:sz w:val="22"/>
          <w:szCs w:val="22"/>
        </w:rPr>
      </w:pPr>
      <w:r>
        <w:rPr>
          <w:sz w:val="22"/>
          <w:szCs w:val="22"/>
        </w:rPr>
        <w:t>A estos gastos</w:t>
      </w:r>
      <w:r w:rsidR="0004451E" w:rsidRPr="0004451E">
        <w:rPr>
          <w:sz w:val="22"/>
          <w:szCs w:val="22"/>
        </w:rPr>
        <w:t xml:space="preserve"> se le</w:t>
      </w:r>
      <w:r>
        <w:rPr>
          <w:sz w:val="22"/>
          <w:szCs w:val="22"/>
        </w:rPr>
        <w:t>s</w:t>
      </w:r>
      <w:r w:rsidR="0004451E" w:rsidRPr="0004451E">
        <w:rPr>
          <w:sz w:val="22"/>
          <w:szCs w:val="22"/>
        </w:rPr>
        <w:t xml:space="preserve"> asignó un presupuesto de $</w:t>
      </w:r>
      <w:r w:rsidR="00A5553C">
        <w:rPr>
          <w:sz w:val="22"/>
          <w:szCs w:val="22"/>
        </w:rPr>
        <w:t>22.396.187.000</w:t>
      </w:r>
      <w:r w:rsidR="00CF75D0">
        <w:rPr>
          <w:sz w:val="22"/>
          <w:szCs w:val="22"/>
        </w:rPr>
        <w:t xml:space="preserve"> </w:t>
      </w:r>
      <w:r w:rsidR="0004451E" w:rsidRPr="0004451E">
        <w:rPr>
          <w:sz w:val="22"/>
          <w:szCs w:val="22"/>
        </w:rPr>
        <w:t xml:space="preserve"> </w:t>
      </w:r>
      <w:r>
        <w:rPr>
          <w:sz w:val="22"/>
          <w:szCs w:val="22"/>
        </w:rPr>
        <w:t xml:space="preserve"> y </w:t>
      </w:r>
      <w:r w:rsidR="00607C99">
        <w:rPr>
          <w:sz w:val="22"/>
          <w:szCs w:val="22"/>
        </w:rPr>
        <w:t xml:space="preserve"> corresponden a la ejecución </w:t>
      </w:r>
      <w:r w:rsidR="002637A3">
        <w:rPr>
          <w:sz w:val="22"/>
          <w:szCs w:val="22"/>
        </w:rPr>
        <w:t>a 31 de diciembre</w:t>
      </w:r>
      <w:r w:rsidR="00684243">
        <w:rPr>
          <w:sz w:val="22"/>
          <w:szCs w:val="22"/>
        </w:rPr>
        <w:t xml:space="preserve"> del 201</w:t>
      </w:r>
      <w:r w:rsidR="00646BCE">
        <w:rPr>
          <w:sz w:val="22"/>
          <w:szCs w:val="22"/>
        </w:rPr>
        <w:t>9</w:t>
      </w:r>
      <w:r w:rsidR="00684243">
        <w:rPr>
          <w:sz w:val="22"/>
          <w:szCs w:val="22"/>
        </w:rPr>
        <w:t xml:space="preserve"> </w:t>
      </w:r>
      <w:r w:rsidR="002637A3">
        <w:rPr>
          <w:sz w:val="22"/>
          <w:szCs w:val="22"/>
        </w:rPr>
        <w:t>así</w:t>
      </w:r>
      <w:r w:rsidR="00684243">
        <w:rPr>
          <w:sz w:val="22"/>
          <w:szCs w:val="22"/>
        </w:rPr>
        <w:t>:</w:t>
      </w:r>
      <w:r w:rsidR="0013631F">
        <w:rPr>
          <w:sz w:val="22"/>
          <w:szCs w:val="22"/>
        </w:rPr>
        <w:t xml:space="preserve"> 1195 –</w:t>
      </w:r>
      <w:r w:rsidR="0004451E" w:rsidRPr="0004451E">
        <w:rPr>
          <w:sz w:val="22"/>
          <w:szCs w:val="22"/>
        </w:rPr>
        <w:t xml:space="preserve"> </w:t>
      </w:r>
      <w:r w:rsidR="00EB26E6">
        <w:rPr>
          <w:sz w:val="22"/>
          <w:szCs w:val="22"/>
        </w:rPr>
        <w:t>Forta</w:t>
      </w:r>
      <w:r w:rsidR="0013631F">
        <w:rPr>
          <w:sz w:val="22"/>
          <w:szCs w:val="22"/>
        </w:rPr>
        <w:t>lecimiento del Sistema integrado de gestión y de la capacidad institucional $</w:t>
      </w:r>
      <w:r w:rsidR="00A5553C">
        <w:rPr>
          <w:sz w:val="22"/>
          <w:szCs w:val="22"/>
        </w:rPr>
        <w:t>15.243.523.620</w:t>
      </w:r>
      <w:r w:rsidR="0013631F">
        <w:rPr>
          <w:sz w:val="22"/>
          <w:szCs w:val="22"/>
        </w:rPr>
        <w:t xml:space="preserve"> ; 1199 – Fortalecimiento del  </w:t>
      </w:r>
      <w:r w:rsidR="0004451E" w:rsidRPr="0004451E">
        <w:rPr>
          <w:sz w:val="22"/>
          <w:szCs w:val="22"/>
        </w:rPr>
        <w:t>Control Social a la Gestión Pública con asignación de $</w:t>
      </w:r>
      <w:r w:rsidR="00A5553C">
        <w:rPr>
          <w:sz w:val="22"/>
          <w:szCs w:val="22"/>
        </w:rPr>
        <w:t>3.266.791.632</w:t>
      </w:r>
      <w:r w:rsidR="0013631F">
        <w:rPr>
          <w:sz w:val="22"/>
          <w:szCs w:val="22"/>
        </w:rPr>
        <w:t xml:space="preserve">– </w:t>
      </w:r>
      <w:r w:rsidR="00A5553C">
        <w:rPr>
          <w:sz w:val="22"/>
          <w:szCs w:val="22"/>
        </w:rPr>
        <w:t>1196-</w:t>
      </w:r>
      <w:r w:rsidR="0013631F">
        <w:rPr>
          <w:sz w:val="22"/>
          <w:szCs w:val="22"/>
        </w:rPr>
        <w:t>Fortalecimiento al Mejoramiento d</w:t>
      </w:r>
      <w:r w:rsidR="00BD6A6C">
        <w:rPr>
          <w:sz w:val="22"/>
          <w:szCs w:val="22"/>
        </w:rPr>
        <w:t>e la Infraestructura Física</w:t>
      </w:r>
      <w:r>
        <w:rPr>
          <w:sz w:val="22"/>
          <w:szCs w:val="22"/>
        </w:rPr>
        <w:t xml:space="preserve"> de la Contraloría de B</w:t>
      </w:r>
      <w:r w:rsidR="00A776B7">
        <w:rPr>
          <w:sz w:val="22"/>
          <w:szCs w:val="22"/>
        </w:rPr>
        <w:t>ogotá D.C. $</w:t>
      </w:r>
      <w:r w:rsidR="00A5553C">
        <w:rPr>
          <w:sz w:val="22"/>
          <w:szCs w:val="22"/>
        </w:rPr>
        <w:t>901.652.129</w:t>
      </w:r>
      <w:r w:rsidR="00A776B7">
        <w:rPr>
          <w:sz w:val="22"/>
          <w:szCs w:val="22"/>
        </w:rPr>
        <w:t xml:space="preserve"> </w:t>
      </w:r>
      <w:r w:rsidR="0004451E" w:rsidRPr="0004451E">
        <w:rPr>
          <w:sz w:val="22"/>
          <w:szCs w:val="22"/>
        </w:rPr>
        <w:t>y</w:t>
      </w:r>
      <w:r w:rsidR="0013631F">
        <w:rPr>
          <w:sz w:val="22"/>
          <w:szCs w:val="22"/>
        </w:rPr>
        <w:t xml:space="preserve"> 1194 - </w:t>
      </w:r>
      <w:r w:rsidR="0004451E" w:rsidRPr="0004451E">
        <w:rPr>
          <w:sz w:val="22"/>
          <w:szCs w:val="22"/>
        </w:rPr>
        <w:t xml:space="preserve"> Fortalecimien</w:t>
      </w:r>
      <w:r w:rsidR="0013631F">
        <w:rPr>
          <w:sz w:val="22"/>
          <w:szCs w:val="22"/>
        </w:rPr>
        <w:t>to de la Infraestructura de Tecnologías de la información y las comunicaciones de la Contraloría de Bogotá D.C</w:t>
      </w:r>
      <w:r w:rsidR="0004451E" w:rsidRPr="0004451E">
        <w:rPr>
          <w:sz w:val="22"/>
          <w:szCs w:val="22"/>
        </w:rPr>
        <w:t xml:space="preserve"> </w:t>
      </w:r>
      <w:r w:rsidR="00A776B7">
        <w:rPr>
          <w:sz w:val="22"/>
          <w:szCs w:val="22"/>
        </w:rPr>
        <w:t>$</w:t>
      </w:r>
      <w:r w:rsidR="00A5553C">
        <w:rPr>
          <w:sz w:val="22"/>
          <w:szCs w:val="22"/>
        </w:rPr>
        <w:t>2.509.174.583.</w:t>
      </w:r>
      <w:r w:rsidR="00A776B7">
        <w:rPr>
          <w:sz w:val="22"/>
          <w:szCs w:val="22"/>
        </w:rPr>
        <w:t xml:space="preserve"> </w:t>
      </w:r>
      <w:r w:rsidR="00AC4257">
        <w:rPr>
          <w:sz w:val="22"/>
          <w:szCs w:val="22"/>
        </w:rPr>
        <w:t>La ejecución de cada uno de los proyectos es</w:t>
      </w:r>
      <w:r w:rsidR="00A776B7">
        <w:rPr>
          <w:sz w:val="22"/>
          <w:szCs w:val="22"/>
        </w:rPr>
        <w:t xml:space="preserve"> la siguiente: proyecto 1195 (9</w:t>
      </w:r>
      <w:r w:rsidR="00A5553C">
        <w:rPr>
          <w:sz w:val="22"/>
          <w:szCs w:val="22"/>
        </w:rPr>
        <w:t>7.95</w:t>
      </w:r>
      <w:r w:rsidR="00A776B7">
        <w:rPr>
          <w:sz w:val="22"/>
          <w:szCs w:val="22"/>
        </w:rPr>
        <w:t>%), proyecto 1199 (9</w:t>
      </w:r>
      <w:r w:rsidR="00A5553C">
        <w:rPr>
          <w:sz w:val="22"/>
          <w:szCs w:val="22"/>
        </w:rPr>
        <w:t>9.07</w:t>
      </w:r>
      <w:r w:rsidR="00AC4257">
        <w:rPr>
          <w:sz w:val="22"/>
          <w:szCs w:val="22"/>
        </w:rPr>
        <w:t xml:space="preserve">%), Proyecto 1196 </w:t>
      </w:r>
      <w:r w:rsidR="00A776B7">
        <w:rPr>
          <w:sz w:val="22"/>
          <w:szCs w:val="22"/>
        </w:rPr>
        <w:t>(9</w:t>
      </w:r>
      <w:r w:rsidR="00A5553C">
        <w:rPr>
          <w:sz w:val="22"/>
          <w:szCs w:val="22"/>
        </w:rPr>
        <w:t>9.10</w:t>
      </w:r>
      <w:r w:rsidR="00A776B7">
        <w:rPr>
          <w:sz w:val="22"/>
          <w:szCs w:val="22"/>
        </w:rPr>
        <w:t>%)</w:t>
      </w:r>
      <w:r w:rsidR="00AC4257">
        <w:rPr>
          <w:sz w:val="22"/>
          <w:szCs w:val="22"/>
        </w:rPr>
        <w:t xml:space="preserve"> y </w:t>
      </w:r>
      <w:r w:rsidR="00684243">
        <w:rPr>
          <w:sz w:val="22"/>
          <w:szCs w:val="22"/>
        </w:rPr>
        <w:t>proyecto</w:t>
      </w:r>
      <w:r w:rsidR="00A776B7">
        <w:rPr>
          <w:sz w:val="22"/>
          <w:szCs w:val="22"/>
        </w:rPr>
        <w:t xml:space="preserve"> 1194 (9</w:t>
      </w:r>
      <w:r w:rsidR="00A5553C">
        <w:rPr>
          <w:sz w:val="22"/>
          <w:szCs w:val="22"/>
        </w:rPr>
        <w:t>5.56</w:t>
      </w:r>
      <w:r w:rsidR="00F73685">
        <w:rPr>
          <w:sz w:val="22"/>
          <w:szCs w:val="22"/>
        </w:rPr>
        <w:t>%) respectivamente</w:t>
      </w:r>
      <w:r w:rsidR="00E21DBA">
        <w:rPr>
          <w:sz w:val="22"/>
          <w:szCs w:val="22"/>
        </w:rPr>
        <w:t>.</w:t>
      </w:r>
      <w:r w:rsidR="006F5240">
        <w:rPr>
          <w:sz w:val="22"/>
          <w:szCs w:val="22"/>
        </w:rPr>
        <w:t xml:space="preserve"> </w:t>
      </w:r>
      <w:r w:rsidR="00DF0EA3">
        <w:rPr>
          <w:sz w:val="22"/>
          <w:szCs w:val="22"/>
        </w:rPr>
        <w:t>Para un total de ejecución de la inversión de $</w:t>
      </w:r>
      <w:r w:rsidR="00A5553C" w:rsidRPr="00A5553C">
        <w:rPr>
          <w:sz w:val="22"/>
          <w:szCs w:val="22"/>
        </w:rPr>
        <w:t>21.921.141.964</w:t>
      </w:r>
      <w:r w:rsidR="00DF0EA3" w:rsidRPr="00A5553C">
        <w:rPr>
          <w:sz w:val="22"/>
          <w:szCs w:val="22"/>
        </w:rPr>
        <w:t xml:space="preserve"> que equivale al 9</w:t>
      </w:r>
      <w:r w:rsidR="00A5553C" w:rsidRPr="00A5553C">
        <w:rPr>
          <w:sz w:val="22"/>
          <w:szCs w:val="22"/>
        </w:rPr>
        <w:t>7.88</w:t>
      </w:r>
      <w:r w:rsidR="00DF0EA3" w:rsidRPr="00A5553C">
        <w:rPr>
          <w:sz w:val="22"/>
          <w:szCs w:val="22"/>
        </w:rPr>
        <w:t>%</w:t>
      </w:r>
    </w:p>
    <w:p w:rsidR="00FC59EF" w:rsidRDefault="00FC59EF" w:rsidP="0004451E">
      <w:pPr>
        <w:pStyle w:val="CUERPO1"/>
        <w:spacing w:line="276" w:lineRule="auto"/>
        <w:ind w:left="720"/>
        <w:rPr>
          <w:sz w:val="22"/>
          <w:szCs w:val="22"/>
        </w:rPr>
      </w:pPr>
    </w:p>
    <w:p w:rsidR="00A74985" w:rsidRDefault="00B0015D" w:rsidP="00A77DA5">
      <w:pPr>
        <w:pStyle w:val="CUERPO1"/>
        <w:numPr>
          <w:ilvl w:val="2"/>
          <w:numId w:val="14"/>
        </w:numPr>
        <w:spacing w:line="276" w:lineRule="auto"/>
        <w:rPr>
          <w:b/>
          <w:sz w:val="22"/>
          <w:szCs w:val="22"/>
          <w:lang w:val="es-MX"/>
        </w:rPr>
      </w:pPr>
      <w:r>
        <w:rPr>
          <w:b/>
          <w:sz w:val="22"/>
          <w:szCs w:val="22"/>
          <w:lang w:val="es-MX"/>
        </w:rPr>
        <w:t>Ejecución de los R</w:t>
      </w:r>
      <w:r w:rsidR="00760C73" w:rsidRPr="00A74985">
        <w:rPr>
          <w:b/>
          <w:sz w:val="22"/>
          <w:szCs w:val="22"/>
          <w:lang w:val="es-MX"/>
        </w:rPr>
        <w:t>ecursos</w:t>
      </w:r>
    </w:p>
    <w:p w:rsidR="00DC2AED" w:rsidRPr="00B0015D" w:rsidRDefault="00DC2AED" w:rsidP="00DC2AED">
      <w:pPr>
        <w:pStyle w:val="CUERPO1"/>
        <w:spacing w:line="276" w:lineRule="auto"/>
        <w:ind w:left="720"/>
        <w:rPr>
          <w:b/>
          <w:sz w:val="22"/>
          <w:szCs w:val="22"/>
          <w:lang w:val="es-MX"/>
        </w:rPr>
      </w:pPr>
    </w:p>
    <w:p w:rsidR="0000618D" w:rsidRPr="00760C73" w:rsidRDefault="006F5240" w:rsidP="00760C73">
      <w:pPr>
        <w:pStyle w:val="CUERPO1"/>
        <w:spacing w:line="276" w:lineRule="auto"/>
        <w:rPr>
          <w:sz w:val="22"/>
          <w:szCs w:val="22"/>
          <w:lang w:val="es-MX"/>
        </w:rPr>
      </w:pPr>
      <w:r w:rsidRPr="00DA772C">
        <w:rPr>
          <w:b/>
          <w:sz w:val="22"/>
          <w:szCs w:val="22"/>
          <w:lang w:val="es-MX"/>
        </w:rPr>
        <w:t>OBJETIVO DEL INDICADOR:</w:t>
      </w:r>
      <w:r w:rsidRPr="00760C73">
        <w:rPr>
          <w:sz w:val="22"/>
          <w:szCs w:val="22"/>
          <w:lang w:val="es-MX"/>
        </w:rPr>
        <w:t xml:space="preserve"> </w:t>
      </w:r>
      <w:r w:rsidR="0000618D" w:rsidRPr="00760C73">
        <w:rPr>
          <w:sz w:val="22"/>
          <w:szCs w:val="22"/>
          <w:lang w:val="es-MX"/>
        </w:rPr>
        <w:t xml:space="preserve">Medir el porcentaje del PAC ejecutado respecto al PAC programado. </w:t>
      </w:r>
    </w:p>
    <w:p w:rsidR="006F5240" w:rsidRDefault="006F5240" w:rsidP="006F5240">
      <w:pPr>
        <w:pStyle w:val="CUERPO1"/>
        <w:spacing w:line="276" w:lineRule="auto"/>
        <w:rPr>
          <w:sz w:val="22"/>
          <w:szCs w:val="22"/>
          <w:lang w:val="es-MX"/>
        </w:rPr>
      </w:pPr>
      <w:r w:rsidRPr="00DA772C">
        <w:rPr>
          <w:b/>
          <w:sz w:val="22"/>
          <w:szCs w:val="22"/>
          <w:lang w:val="es-MX"/>
        </w:rPr>
        <w:t>FÓRMULA:</w:t>
      </w:r>
      <w:r>
        <w:rPr>
          <w:sz w:val="22"/>
          <w:szCs w:val="22"/>
          <w:lang w:val="es-MX"/>
        </w:rPr>
        <w:t xml:space="preserve"> </w:t>
      </w:r>
      <m:oMath>
        <m:f>
          <m:fPr>
            <m:ctrlPr>
              <w:rPr>
                <w:rFonts w:ascii="Cambria Math" w:hAnsi="Cambria Math"/>
                <w:i/>
                <w:sz w:val="22"/>
                <w:szCs w:val="22"/>
                <w:lang w:val="es-MX"/>
              </w:rPr>
            </m:ctrlPr>
          </m:fPr>
          <m:num>
            <m:r>
              <w:rPr>
                <w:rFonts w:ascii="Cambria Math" w:hAnsi="Cambria Math"/>
                <w:sz w:val="22"/>
                <w:szCs w:val="22"/>
                <w:lang w:val="es-MX"/>
              </w:rPr>
              <m:t>PAC ejecutado</m:t>
            </m:r>
          </m:num>
          <m:den>
            <m:r>
              <w:rPr>
                <w:rFonts w:ascii="Cambria Math" w:hAnsi="Cambria Math"/>
                <w:sz w:val="22"/>
                <w:szCs w:val="22"/>
                <w:lang w:val="es-MX"/>
              </w:rPr>
              <m:t>PAC programado</m:t>
            </m:r>
          </m:den>
        </m:f>
      </m:oMath>
    </w:p>
    <w:p w:rsidR="006F5240" w:rsidRDefault="006F5240" w:rsidP="006F5240">
      <w:pPr>
        <w:pStyle w:val="CUERPO1"/>
        <w:spacing w:line="276" w:lineRule="auto"/>
        <w:rPr>
          <w:sz w:val="22"/>
          <w:szCs w:val="22"/>
          <w:lang w:val="es-MX"/>
        </w:rPr>
      </w:pPr>
      <w:r w:rsidRPr="00DA772C">
        <w:rPr>
          <w:b/>
          <w:sz w:val="22"/>
          <w:szCs w:val="22"/>
          <w:lang w:val="es-MX"/>
        </w:rPr>
        <w:t>RESULTADO:</w:t>
      </w:r>
      <w:r>
        <w:rPr>
          <w:sz w:val="22"/>
          <w:szCs w:val="22"/>
          <w:lang w:val="es-MX"/>
        </w:rPr>
        <w:t xml:space="preserve"> </w:t>
      </w:r>
      <w:r w:rsidR="0090669E">
        <w:rPr>
          <w:sz w:val="22"/>
          <w:szCs w:val="22"/>
          <w:lang w:val="es-MX"/>
        </w:rPr>
        <w:t>9</w:t>
      </w:r>
      <w:r w:rsidR="00C5541E">
        <w:rPr>
          <w:sz w:val="22"/>
          <w:szCs w:val="22"/>
          <w:lang w:val="es-MX"/>
        </w:rPr>
        <w:t>7.</w:t>
      </w:r>
      <w:r w:rsidR="002D1F08">
        <w:rPr>
          <w:sz w:val="22"/>
          <w:szCs w:val="22"/>
          <w:lang w:val="es-MX"/>
        </w:rPr>
        <w:t>0</w:t>
      </w:r>
      <w:r w:rsidR="00C5541E">
        <w:rPr>
          <w:sz w:val="22"/>
          <w:szCs w:val="22"/>
          <w:lang w:val="es-MX"/>
        </w:rPr>
        <w:t>5</w:t>
      </w:r>
      <w:r>
        <w:rPr>
          <w:sz w:val="22"/>
          <w:szCs w:val="22"/>
          <w:lang w:val="es-MX"/>
        </w:rPr>
        <w:t>%</w:t>
      </w:r>
    </w:p>
    <w:p w:rsidR="006F5240" w:rsidRDefault="006F5240" w:rsidP="006F5240">
      <w:pPr>
        <w:pStyle w:val="CUERPO1"/>
        <w:spacing w:line="276" w:lineRule="auto"/>
        <w:rPr>
          <w:sz w:val="22"/>
          <w:szCs w:val="22"/>
          <w:lang w:val="es-MX"/>
        </w:rPr>
      </w:pPr>
      <w:r w:rsidRPr="00DC2AED">
        <w:rPr>
          <w:b/>
          <w:sz w:val="22"/>
          <w:szCs w:val="22"/>
          <w:lang w:val="es-MX"/>
        </w:rPr>
        <w:t>ANÁLISIS:</w:t>
      </w:r>
      <w:r w:rsidRPr="0077747A">
        <w:rPr>
          <w:sz w:val="22"/>
          <w:szCs w:val="22"/>
          <w:lang w:val="es-MX"/>
        </w:rPr>
        <w:t xml:space="preserve"> </w:t>
      </w:r>
      <w:r w:rsidR="002637A3">
        <w:rPr>
          <w:sz w:val="22"/>
          <w:szCs w:val="22"/>
          <w:lang w:val="es-MX"/>
        </w:rPr>
        <w:t>A 31</w:t>
      </w:r>
      <w:r w:rsidR="007E3664">
        <w:rPr>
          <w:sz w:val="22"/>
          <w:szCs w:val="22"/>
          <w:lang w:val="es-MX"/>
        </w:rPr>
        <w:t xml:space="preserve"> de </w:t>
      </w:r>
      <w:r w:rsidR="002637A3">
        <w:rPr>
          <w:sz w:val="22"/>
          <w:szCs w:val="22"/>
          <w:lang w:val="es-MX"/>
        </w:rPr>
        <w:t>diciembre</w:t>
      </w:r>
      <w:r w:rsidR="003619AD">
        <w:rPr>
          <w:sz w:val="22"/>
          <w:szCs w:val="22"/>
          <w:lang w:val="es-MX"/>
        </w:rPr>
        <w:t>,</w:t>
      </w:r>
      <w:r w:rsidR="007E3664">
        <w:rPr>
          <w:sz w:val="22"/>
          <w:szCs w:val="22"/>
          <w:lang w:val="es-MX"/>
        </w:rPr>
        <w:t xml:space="preserve"> </w:t>
      </w:r>
      <w:r w:rsidR="0000618D" w:rsidRPr="0000618D">
        <w:rPr>
          <w:sz w:val="22"/>
          <w:szCs w:val="22"/>
          <w:lang w:val="es-MX"/>
        </w:rPr>
        <w:t xml:space="preserve">el área de tesorería </w:t>
      </w:r>
      <w:r w:rsidR="0093002D">
        <w:rPr>
          <w:sz w:val="22"/>
          <w:szCs w:val="22"/>
          <w:lang w:val="es-MX"/>
        </w:rPr>
        <w:t xml:space="preserve">ejecutó </w:t>
      </w:r>
      <w:r w:rsidR="0000618D" w:rsidRPr="0000618D">
        <w:rPr>
          <w:sz w:val="22"/>
          <w:szCs w:val="22"/>
          <w:lang w:val="es-MX"/>
        </w:rPr>
        <w:t xml:space="preserve">el </w:t>
      </w:r>
      <w:r w:rsidR="00673704">
        <w:rPr>
          <w:sz w:val="22"/>
          <w:szCs w:val="22"/>
          <w:lang w:val="es-MX"/>
        </w:rPr>
        <w:t>9</w:t>
      </w:r>
      <w:r w:rsidR="000657FE">
        <w:rPr>
          <w:sz w:val="22"/>
          <w:szCs w:val="22"/>
          <w:lang w:val="es-MX"/>
        </w:rPr>
        <w:t>7.</w:t>
      </w:r>
      <w:r w:rsidR="002D1F08">
        <w:rPr>
          <w:sz w:val="22"/>
          <w:szCs w:val="22"/>
          <w:lang w:val="es-MX"/>
        </w:rPr>
        <w:t>05</w:t>
      </w:r>
      <w:r w:rsidR="0011630B">
        <w:rPr>
          <w:sz w:val="22"/>
          <w:szCs w:val="22"/>
          <w:lang w:val="es-MX"/>
        </w:rPr>
        <w:t>%</w:t>
      </w:r>
      <w:r w:rsidR="00CF623F">
        <w:rPr>
          <w:sz w:val="22"/>
          <w:szCs w:val="22"/>
          <w:lang w:val="es-MX"/>
        </w:rPr>
        <w:t xml:space="preserve"> del</w:t>
      </w:r>
      <w:r w:rsidR="0090669E">
        <w:rPr>
          <w:sz w:val="22"/>
          <w:szCs w:val="22"/>
          <w:lang w:val="es-MX"/>
        </w:rPr>
        <w:t xml:space="preserve"> PAC programado hasta diciembre</w:t>
      </w:r>
      <w:r w:rsidR="00CF623F">
        <w:rPr>
          <w:sz w:val="22"/>
          <w:szCs w:val="22"/>
          <w:lang w:val="es-MX"/>
        </w:rPr>
        <w:t xml:space="preserve"> </w:t>
      </w:r>
      <w:r w:rsidR="0011630B">
        <w:rPr>
          <w:sz w:val="22"/>
          <w:szCs w:val="22"/>
          <w:lang w:val="es-MX"/>
        </w:rPr>
        <w:t>d</w:t>
      </w:r>
      <w:r w:rsidR="00563BEB">
        <w:rPr>
          <w:sz w:val="22"/>
          <w:szCs w:val="22"/>
          <w:lang w:val="es-MX"/>
        </w:rPr>
        <w:t>el año 201</w:t>
      </w:r>
      <w:r w:rsidR="00646BCE">
        <w:rPr>
          <w:sz w:val="22"/>
          <w:szCs w:val="22"/>
          <w:lang w:val="es-MX"/>
        </w:rPr>
        <w:t>9</w:t>
      </w:r>
      <w:r w:rsidR="00607C99">
        <w:rPr>
          <w:sz w:val="22"/>
          <w:szCs w:val="22"/>
          <w:lang w:val="es-MX"/>
        </w:rPr>
        <w:t>. E</w:t>
      </w:r>
      <w:r w:rsidR="00A31AC0">
        <w:rPr>
          <w:sz w:val="22"/>
          <w:szCs w:val="22"/>
          <w:lang w:val="es-MX"/>
        </w:rPr>
        <w:t>s</w:t>
      </w:r>
      <w:r w:rsidR="0000618D" w:rsidRPr="0000618D">
        <w:rPr>
          <w:sz w:val="22"/>
          <w:szCs w:val="22"/>
          <w:lang w:val="es-MX"/>
        </w:rPr>
        <w:t xml:space="preserve">te indicador </w:t>
      </w:r>
      <w:r w:rsidR="0000618D" w:rsidRPr="00F65C36">
        <w:rPr>
          <w:sz w:val="22"/>
          <w:szCs w:val="22"/>
          <w:lang w:val="es-MX"/>
        </w:rPr>
        <w:t>presenta un niv</w:t>
      </w:r>
      <w:r w:rsidR="0090669E">
        <w:rPr>
          <w:sz w:val="22"/>
          <w:szCs w:val="22"/>
          <w:lang w:val="es-MX"/>
        </w:rPr>
        <w:t>el de calificación satisfactorio</w:t>
      </w:r>
      <w:r w:rsidR="0000618D" w:rsidRPr="00F65C36">
        <w:rPr>
          <w:sz w:val="22"/>
          <w:szCs w:val="22"/>
          <w:lang w:val="es-MX"/>
        </w:rPr>
        <w:t xml:space="preserve"> de acuerdo a la meta establecida inicialmente.</w:t>
      </w:r>
    </w:p>
    <w:p w:rsidR="00BB494A" w:rsidRDefault="0093002D" w:rsidP="006F5240">
      <w:pPr>
        <w:pStyle w:val="CUERPO1"/>
        <w:spacing w:line="276" w:lineRule="auto"/>
        <w:rPr>
          <w:sz w:val="22"/>
          <w:szCs w:val="22"/>
          <w:lang w:val="es-MX"/>
        </w:rPr>
      </w:pPr>
      <w:r>
        <w:rPr>
          <w:sz w:val="22"/>
          <w:szCs w:val="22"/>
          <w:lang w:val="es-MX"/>
        </w:rPr>
        <w:t xml:space="preserve">El siguiente cuadro muestra </w:t>
      </w:r>
      <w:r w:rsidR="0000618D">
        <w:rPr>
          <w:sz w:val="22"/>
          <w:szCs w:val="22"/>
          <w:lang w:val="es-MX"/>
        </w:rPr>
        <w:t>el movimi</w:t>
      </w:r>
      <w:r w:rsidR="00895EF3">
        <w:rPr>
          <w:sz w:val="22"/>
          <w:szCs w:val="22"/>
          <w:lang w:val="es-MX"/>
        </w:rPr>
        <w:t>ento mensual del PAC programado y</w:t>
      </w:r>
      <w:r w:rsidR="0000618D">
        <w:rPr>
          <w:sz w:val="22"/>
          <w:szCs w:val="22"/>
          <w:lang w:val="es-MX"/>
        </w:rPr>
        <w:t xml:space="preserve"> </w:t>
      </w:r>
      <w:r w:rsidR="00895EF3">
        <w:rPr>
          <w:sz w:val="22"/>
          <w:szCs w:val="22"/>
          <w:lang w:val="es-MX"/>
        </w:rPr>
        <w:t xml:space="preserve">PAC </w:t>
      </w:r>
      <w:r w:rsidR="00042D92">
        <w:rPr>
          <w:sz w:val="22"/>
          <w:szCs w:val="22"/>
          <w:lang w:val="es-MX"/>
        </w:rPr>
        <w:t>ejecutado:</w:t>
      </w:r>
      <w:r w:rsidR="00BB494A">
        <w:rPr>
          <w:sz w:val="22"/>
          <w:szCs w:val="22"/>
          <w:lang w:val="es-MX"/>
        </w:rPr>
        <w:t xml:space="preserve"> </w:t>
      </w:r>
    </w:p>
    <w:p w:rsidR="00BB494A" w:rsidRDefault="00BB494A" w:rsidP="006F5240">
      <w:pPr>
        <w:pStyle w:val="CUERPO1"/>
        <w:spacing w:line="276" w:lineRule="auto"/>
        <w:rPr>
          <w:sz w:val="22"/>
          <w:szCs w:val="22"/>
          <w:lang w:val="es-MX"/>
        </w:rPr>
      </w:pPr>
    </w:p>
    <w:p w:rsidR="00673704" w:rsidRPr="00673704" w:rsidRDefault="00673704" w:rsidP="00673704">
      <w:pPr>
        <w:jc w:val="center"/>
        <w:rPr>
          <w:rFonts w:ascii="Arial" w:hAnsi="Arial" w:cs="Arial"/>
          <w:sz w:val="22"/>
          <w:szCs w:val="22"/>
          <w:lang w:val="es-MX"/>
        </w:rPr>
      </w:pPr>
      <w:r w:rsidRPr="00673704">
        <w:rPr>
          <w:rFonts w:ascii="Arial" w:hAnsi="Arial" w:cs="Arial"/>
          <w:sz w:val="22"/>
          <w:szCs w:val="22"/>
          <w:lang w:val="es-MX"/>
        </w:rPr>
        <w:t>CUADRO No. 5</w:t>
      </w:r>
    </w:p>
    <w:p w:rsidR="00673704" w:rsidRPr="00673704" w:rsidRDefault="00673704" w:rsidP="00673704">
      <w:pPr>
        <w:jc w:val="center"/>
        <w:rPr>
          <w:rFonts w:ascii="Arial" w:hAnsi="Arial" w:cs="Arial"/>
          <w:sz w:val="22"/>
          <w:szCs w:val="22"/>
          <w:lang w:val="es-MX"/>
        </w:rPr>
      </w:pPr>
      <w:r w:rsidRPr="00673704">
        <w:rPr>
          <w:rFonts w:ascii="Arial" w:hAnsi="Arial" w:cs="Arial"/>
          <w:sz w:val="22"/>
          <w:szCs w:val="22"/>
          <w:lang w:val="es-MX"/>
        </w:rPr>
        <w:t>PROGRAMACIÒN ANUAL DE CAJA</w:t>
      </w:r>
    </w:p>
    <w:p w:rsidR="00B45AE4" w:rsidRDefault="00673704" w:rsidP="00673704">
      <w:pPr>
        <w:pStyle w:val="CUERPO1"/>
        <w:spacing w:line="276" w:lineRule="auto"/>
        <w:jc w:val="center"/>
        <w:rPr>
          <w:sz w:val="22"/>
          <w:szCs w:val="22"/>
          <w:lang w:val="es-MX"/>
        </w:rPr>
      </w:pPr>
      <w:r w:rsidRPr="00673704">
        <w:rPr>
          <w:sz w:val="22"/>
          <w:szCs w:val="22"/>
          <w:lang w:val="es-MX"/>
        </w:rPr>
        <w:t>a 31 de diciembre de 201</w:t>
      </w:r>
      <w:r w:rsidR="00646BCE">
        <w:rPr>
          <w:sz w:val="22"/>
          <w:szCs w:val="22"/>
          <w:lang w:val="es-MX"/>
        </w:rPr>
        <w:t>9</w:t>
      </w:r>
    </w:p>
    <w:p w:rsidR="00BB494A" w:rsidRDefault="00BB494A" w:rsidP="00673704">
      <w:pPr>
        <w:pStyle w:val="CUERPO1"/>
        <w:spacing w:line="276" w:lineRule="auto"/>
        <w:jc w:val="center"/>
        <w:rPr>
          <w:sz w:val="22"/>
          <w:szCs w:val="22"/>
          <w:lang w:val="es-MX"/>
        </w:rPr>
      </w:pPr>
    </w:p>
    <w:tbl>
      <w:tblPr>
        <w:tblW w:w="5780" w:type="dxa"/>
        <w:jc w:val="center"/>
        <w:tblCellMar>
          <w:left w:w="70" w:type="dxa"/>
          <w:right w:w="70" w:type="dxa"/>
        </w:tblCellMar>
        <w:tblLook w:val="04A0" w:firstRow="1" w:lastRow="0" w:firstColumn="1" w:lastColumn="0" w:noHBand="0" w:noVBand="1"/>
      </w:tblPr>
      <w:tblGrid>
        <w:gridCol w:w="1880"/>
        <w:gridCol w:w="1920"/>
        <w:gridCol w:w="1980"/>
      </w:tblGrid>
      <w:tr w:rsidR="00BB494A" w:rsidRPr="00BB494A" w:rsidTr="00673704">
        <w:trPr>
          <w:trHeight w:val="300"/>
          <w:jc w:val="center"/>
        </w:trPr>
        <w:tc>
          <w:tcPr>
            <w:tcW w:w="1880" w:type="dxa"/>
            <w:tcBorders>
              <w:top w:val="single" w:sz="4" w:space="0" w:color="auto"/>
              <w:left w:val="single" w:sz="4" w:space="0" w:color="auto"/>
              <w:bottom w:val="nil"/>
              <w:right w:val="single" w:sz="4"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MES</w:t>
            </w:r>
          </w:p>
        </w:tc>
        <w:tc>
          <w:tcPr>
            <w:tcW w:w="1920" w:type="dxa"/>
            <w:tcBorders>
              <w:top w:val="single" w:sz="8" w:space="0" w:color="auto"/>
              <w:left w:val="nil"/>
              <w:bottom w:val="nil"/>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PROGRAMADO</w:t>
            </w:r>
          </w:p>
        </w:tc>
        <w:tc>
          <w:tcPr>
            <w:tcW w:w="1980" w:type="dxa"/>
            <w:tcBorders>
              <w:top w:val="single" w:sz="8" w:space="0" w:color="auto"/>
              <w:left w:val="nil"/>
              <w:bottom w:val="nil"/>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EJECUTADO</w:t>
            </w:r>
          </w:p>
        </w:tc>
      </w:tr>
      <w:tr w:rsidR="00BB494A" w:rsidRPr="00BB494A" w:rsidTr="00673704">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ENERO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E31708">
              <w:rPr>
                <w:rFonts w:cs="Calibri"/>
                <w:color w:val="000000"/>
                <w:sz w:val="22"/>
                <w:szCs w:val="22"/>
                <w:lang w:val="es-ES" w:eastAsia="es-ES"/>
              </w:rPr>
              <w:t>13.669</w:t>
            </w:r>
            <w:r w:rsidR="00151B6C">
              <w:rPr>
                <w:rFonts w:cs="Calibri"/>
                <w:color w:val="000000"/>
                <w:sz w:val="22"/>
                <w:szCs w:val="22"/>
                <w:lang w:val="es-ES" w:eastAsia="es-ES"/>
              </w:rPr>
              <w:t>.</w:t>
            </w:r>
            <w:r w:rsidR="00E31708">
              <w:rPr>
                <w:rFonts w:cs="Calibri"/>
                <w:color w:val="000000"/>
                <w:sz w:val="22"/>
                <w:szCs w:val="22"/>
                <w:lang w:val="es-ES" w:eastAsia="es-ES"/>
              </w:rPr>
              <w:t>888.146</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2.973.518.319</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FEBRERO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9.773.754.009</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9.256</w:t>
            </w:r>
            <w:r w:rsidR="00D13DEF">
              <w:rPr>
                <w:rFonts w:cs="Calibri"/>
                <w:color w:val="000000"/>
                <w:sz w:val="22"/>
                <w:szCs w:val="22"/>
                <w:lang w:val="es-ES" w:eastAsia="es-ES"/>
              </w:rPr>
              <w:t>.</w:t>
            </w:r>
            <w:r w:rsidR="00151B6C">
              <w:rPr>
                <w:rFonts w:cs="Calibri"/>
                <w:color w:val="000000"/>
                <w:sz w:val="22"/>
                <w:szCs w:val="22"/>
                <w:lang w:val="es-ES" w:eastAsia="es-ES"/>
              </w:rPr>
              <w:t>346.632</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lastRenderedPageBreak/>
              <w:t>MARZO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11.243</w:t>
            </w:r>
            <w:r w:rsidR="00D13DEF">
              <w:rPr>
                <w:rFonts w:cs="Calibri"/>
                <w:color w:val="000000"/>
                <w:sz w:val="22"/>
                <w:szCs w:val="22"/>
                <w:lang w:val="es-ES" w:eastAsia="es-ES"/>
              </w:rPr>
              <w:t>.</w:t>
            </w:r>
            <w:r w:rsidR="00151B6C">
              <w:rPr>
                <w:rFonts w:cs="Calibri"/>
                <w:color w:val="000000"/>
                <w:sz w:val="22"/>
                <w:szCs w:val="22"/>
                <w:lang w:val="es-ES" w:eastAsia="es-ES"/>
              </w:rPr>
              <w:t>131.966</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10.381</w:t>
            </w:r>
            <w:r w:rsidR="00D13DEF">
              <w:rPr>
                <w:rFonts w:cs="Calibri"/>
                <w:color w:val="000000"/>
                <w:sz w:val="22"/>
                <w:szCs w:val="22"/>
                <w:lang w:val="es-ES" w:eastAsia="es-ES"/>
              </w:rPr>
              <w:t>.</w:t>
            </w:r>
            <w:r w:rsidR="00151B6C">
              <w:rPr>
                <w:rFonts w:cs="Calibri"/>
                <w:color w:val="000000"/>
                <w:sz w:val="22"/>
                <w:szCs w:val="22"/>
                <w:lang w:val="es-ES" w:eastAsia="es-ES"/>
              </w:rPr>
              <w:t>120.726</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ABRIL</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10.977.072.367</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10.551.612.199</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MAYO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1.995.569.007</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1.765.092.037</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JUNIO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9</w:t>
            </w:r>
            <w:r w:rsidR="00417562">
              <w:rPr>
                <w:rFonts w:cs="Calibri"/>
                <w:color w:val="000000"/>
                <w:sz w:val="22"/>
                <w:szCs w:val="22"/>
                <w:lang w:val="es-ES" w:eastAsia="es-ES"/>
              </w:rPr>
              <w:t>.</w:t>
            </w:r>
            <w:r w:rsidR="00151B6C">
              <w:rPr>
                <w:rFonts w:cs="Calibri"/>
                <w:color w:val="000000"/>
                <w:sz w:val="22"/>
                <w:szCs w:val="22"/>
                <w:lang w:val="es-ES" w:eastAsia="es-ES"/>
              </w:rPr>
              <w:t>688.247.198</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9.438.100.909</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JULIO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2.426.212.583</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2.405.184.786</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AGOSTO</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1.440.570.499</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$ 10.</w:t>
            </w:r>
            <w:r w:rsidR="00151B6C">
              <w:rPr>
                <w:rFonts w:cs="Calibri"/>
                <w:color w:val="000000"/>
                <w:sz w:val="22"/>
                <w:szCs w:val="22"/>
                <w:lang w:val="es-ES" w:eastAsia="es-ES"/>
              </w:rPr>
              <w:t>987.313.200</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SEPTIEMBRE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1.874.781.484</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1</w:t>
            </w:r>
            <w:r w:rsidRPr="00BB494A">
              <w:rPr>
                <w:rFonts w:cs="Calibri"/>
                <w:color w:val="000000"/>
                <w:sz w:val="22"/>
                <w:szCs w:val="22"/>
                <w:lang w:val="es-ES" w:eastAsia="es-ES"/>
              </w:rPr>
              <w:t>.</w:t>
            </w:r>
            <w:r w:rsidR="00151B6C">
              <w:rPr>
                <w:rFonts w:cs="Calibri"/>
                <w:color w:val="000000"/>
                <w:sz w:val="22"/>
                <w:szCs w:val="22"/>
                <w:lang w:val="es-ES" w:eastAsia="es-ES"/>
              </w:rPr>
              <w:t>413.872.775</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OCTUBRE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1</w:t>
            </w:r>
            <w:r w:rsidRPr="00BB494A">
              <w:rPr>
                <w:rFonts w:cs="Calibri"/>
                <w:color w:val="000000"/>
                <w:sz w:val="22"/>
                <w:szCs w:val="22"/>
                <w:lang w:val="es-ES" w:eastAsia="es-ES"/>
              </w:rPr>
              <w:t>.</w:t>
            </w:r>
            <w:r w:rsidR="00151B6C">
              <w:rPr>
                <w:rFonts w:cs="Calibri"/>
                <w:color w:val="000000"/>
                <w:sz w:val="22"/>
                <w:szCs w:val="22"/>
                <w:lang w:val="es-ES" w:eastAsia="es-ES"/>
              </w:rPr>
              <w:t>745</w:t>
            </w:r>
            <w:r w:rsidR="00D13DEF">
              <w:rPr>
                <w:rFonts w:cs="Calibri"/>
                <w:color w:val="000000"/>
                <w:sz w:val="22"/>
                <w:szCs w:val="22"/>
                <w:lang w:val="es-ES" w:eastAsia="es-ES"/>
              </w:rPr>
              <w:t>.</w:t>
            </w:r>
            <w:r w:rsidR="00151B6C">
              <w:rPr>
                <w:rFonts w:cs="Calibri"/>
                <w:color w:val="000000"/>
                <w:sz w:val="22"/>
                <w:szCs w:val="22"/>
                <w:lang w:val="es-ES" w:eastAsia="es-ES"/>
              </w:rPr>
              <w:t>628.201</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xml:space="preserve">$ </w:t>
            </w:r>
            <w:r w:rsidR="00151B6C">
              <w:rPr>
                <w:rFonts w:cs="Calibri"/>
                <w:color w:val="000000"/>
                <w:sz w:val="22"/>
                <w:szCs w:val="22"/>
                <w:lang w:val="es-ES" w:eastAsia="es-ES"/>
              </w:rPr>
              <w:t>10.923</w:t>
            </w:r>
            <w:r w:rsidR="00D13DEF">
              <w:rPr>
                <w:rFonts w:cs="Calibri"/>
                <w:color w:val="000000"/>
                <w:sz w:val="22"/>
                <w:szCs w:val="22"/>
                <w:lang w:val="es-ES" w:eastAsia="es-ES"/>
              </w:rPr>
              <w:t>.</w:t>
            </w:r>
            <w:r w:rsidR="00151B6C">
              <w:rPr>
                <w:rFonts w:cs="Calibri"/>
                <w:color w:val="000000"/>
                <w:sz w:val="22"/>
                <w:szCs w:val="22"/>
                <w:lang w:val="es-ES" w:eastAsia="es-ES"/>
              </w:rPr>
              <w:t>781.062</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NOVIEMBRE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2.103.456.100</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$ 1</w:t>
            </w:r>
            <w:r w:rsidR="00151B6C">
              <w:rPr>
                <w:rFonts w:cs="Calibri"/>
                <w:color w:val="000000"/>
                <w:sz w:val="22"/>
                <w:szCs w:val="22"/>
                <w:lang w:val="es-ES" w:eastAsia="es-ES"/>
              </w:rPr>
              <w:t>2.086.733</w:t>
            </w:r>
            <w:r w:rsidR="00C902A7">
              <w:rPr>
                <w:rFonts w:cs="Calibri"/>
                <w:color w:val="000000"/>
                <w:sz w:val="22"/>
                <w:szCs w:val="22"/>
                <w:lang w:val="es-ES" w:eastAsia="es-ES"/>
              </w:rPr>
              <w:t>.</w:t>
            </w:r>
            <w:r w:rsidR="00151B6C">
              <w:rPr>
                <w:rFonts w:cs="Calibri"/>
                <w:color w:val="000000"/>
                <w:sz w:val="22"/>
                <w:szCs w:val="22"/>
                <w:lang w:val="es-ES" w:eastAsia="es-ES"/>
              </w:rPr>
              <w:t>697</w:t>
            </w:r>
          </w:p>
        </w:tc>
      </w:tr>
      <w:tr w:rsidR="00BB494A" w:rsidRPr="00BB494A" w:rsidTr="00673704">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Diciembre</w:t>
            </w:r>
          </w:p>
        </w:tc>
        <w:tc>
          <w:tcPr>
            <w:tcW w:w="192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$ 23.</w:t>
            </w:r>
            <w:r w:rsidR="00151B6C">
              <w:rPr>
                <w:rFonts w:cs="Calibri"/>
                <w:color w:val="000000"/>
                <w:sz w:val="22"/>
                <w:szCs w:val="22"/>
                <w:lang w:val="es-ES" w:eastAsia="es-ES"/>
              </w:rPr>
              <w:t>839.538.843</w:t>
            </w:r>
          </w:p>
        </w:tc>
        <w:tc>
          <w:tcPr>
            <w:tcW w:w="1980" w:type="dxa"/>
            <w:tcBorders>
              <w:top w:val="nil"/>
              <w:left w:val="nil"/>
              <w:bottom w:val="single" w:sz="4" w:space="0" w:color="auto"/>
              <w:right w:val="single" w:sz="4" w:space="0" w:color="auto"/>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val="es-ES" w:eastAsia="es-ES"/>
              </w:rPr>
              <w:t>$ 2</w:t>
            </w:r>
            <w:r w:rsidR="00151B6C">
              <w:rPr>
                <w:rFonts w:cs="Calibri"/>
                <w:color w:val="000000"/>
                <w:sz w:val="22"/>
                <w:szCs w:val="22"/>
                <w:lang w:val="es-ES" w:eastAsia="es-ES"/>
              </w:rPr>
              <w:t>3.839.538.843</w:t>
            </w:r>
          </w:p>
        </w:tc>
      </w:tr>
      <w:tr w:rsidR="00BB494A" w:rsidRPr="00BB494A" w:rsidTr="00673704">
        <w:trPr>
          <w:trHeight w:val="315"/>
          <w:jc w:val="center"/>
        </w:trPr>
        <w:tc>
          <w:tcPr>
            <w:tcW w:w="1880" w:type="dxa"/>
            <w:tcBorders>
              <w:top w:val="nil"/>
              <w:left w:val="single" w:sz="8" w:space="0" w:color="auto"/>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TOTAL</w:t>
            </w:r>
          </w:p>
        </w:tc>
        <w:tc>
          <w:tcPr>
            <w:tcW w:w="1920" w:type="dxa"/>
            <w:tcBorders>
              <w:top w:val="nil"/>
              <w:left w:val="nil"/>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$ 1</w:t>
            </w:r>
            <w:r w:rsidR="00151B6C">
              <w:rPr>
                <w:rFonts w:cs="Calibri"/>
                <w:b/>
                <w:bCs/>
                <w:color w:val="000000"/>
                <w:sz w:val="22"/>
                <w:szCs w:val="22"/>
                <w:lang w:eastAsia="es-ES"/>
              </w:rPr>
              <w:t>60.7</w:t>
            </w:r>
            <w:r w:rsidR="00C902A7">
              <w:rPr>
                <w:rFonts w:cs="Calibri"/>
                <w:b/>
                <w:bCs/>
                <w:color w:val="000000"/>
                <w:sz w:val="22"/>
                <w:szCs w:val="22"/>
                <w:lang w:eastAsia="es-ES"/>
              </w:rPr>
              <w:t>7</w:t>
            </w:r>
            <w:r w:rsidR="00151B6C">
              <w:rPr>
                <w:rFonts w:cs="Calibri"/>
                <w:b/>
                <w:bCs/>
                <w:color w:val="000000"/>
                <w:sz w:val="22"/>
                <w:szCs w:val="22"/>
                <w:lang w:eastAsia="es-ES"/>
              </w:rPr>
              <w:t>7.850.403</w:t>
            </w:r>
          </w:p>
        </w:tc>
        <w:tc>
          <w:tcPr>
            <w:tcW w:w="1980" w:type="dxa"/>
            <w:tcBorders>
              <w:top w:val="nil"/>
              <w:left w:val="nil"/>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$ 1</w:t>
            </w:r>
            <w:r w:rsidR="00D13DEF">
              <w:rPr>
                <w:rFonts w:cs="Calibri"/>
                <w:b/>
                <w:bCs/>
                <w:color w:val="000000"/>
                <w:sz w:val="22"/>
                <w:szCs w:val="22"/>
                <w:lang w:eastAsia="es-ES"/>
              </w:rPr>
              <w:t>56.022.215.185</w:t>
            </w:r>
          </w:p>
        </w:tc>
      </w:tr>
      <w:tr w:rsidR="00BB494A" w:rsidRPr="00BB494A" w:rsidTr="00673704">
        <w:trPr>
          <w:trHeight w:val="315"/>
          <w:jc w:val="center"/>
        </w:trPr>
        <w:tc>
          <w:tcPr>
            <w:tcW w:w="1880" w:type="dxa"/>
            <w:tcBorders>
              <w:top w:val="nil"/>
              <w:left w:val="single" w:sz="8" w:space="0" w:color="auto"/>
              <w:bottom w:val="single" w:sz="8" w:space="0" w:color="auto"/>
              <w:right w:val="single" w:sz="8" w:space="0" w:color="auto"/>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eastAsia="es-ES"/>
              </w:rPr>
              <w:t>PARTICIPACIÒN</w:t>
            </w:r>
          </w:p>
        </w:tc>
        <w:tc>
          <w:tcPr>
            <w:tcW w:w="390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BB494A" w:rsidRPr="00BB494A" w:rsidRDefault="00BB494A" w:rsidP="00673704">
            <w:pPr>
              <w:spacing w:after="0" w:line="240" w:lineRule="auto"/>
              <w:jc w:val="center"/>
              <w:rPr>
                <w:rFonts w:cs="Calibri"/>
                <w:b/>
                <w:bCs/>
                <w:color w:val="000000"/>
                <w:sz w:val="22"/>
                <w:szCs w:val="22"/>
                <w:lang w:val="es-ES" w:eastAsia="es-ES"/>
              </w:rPr>
            </w:pPr>
            <w:r w:rsidRPr="00BB494A">
              <w:rPr>
                <w:rFonts w:cs="Calibri"/>
                <w:b/>
                <w:bCs/>
                <w:color w:val="000000"/>
                <w:sz w:val="22"/>
                <w:szCs w:val="22"/>
                <w:lang w:val="es-ES" w:eastAsia="es-ES"/>
              </w:rPr>
              <w:t>9</w:t>
            </w:r>
            <w:r w:rsidR="000657FE">
              <w:rPr>
                <w:rFonts w:cs="Calibri"/>
                <w:b/>
                <w:bCs/>
                <w:color w:val="000000"/>
                <w:sz w:val="22"/>
                <w:szCs w:val="22"/>
                <w:lang w:val="es-ES" w:eastAsia="es-ES"/>
              </w:rPr>
              <w:t>7.</w:t>
            </w:r>
            <w:r w:rsidR="002D1F08">
              <w:rPr>
                <w:rFonts w:cs="Calibri"/>
                <w:b/>
                <w:bCs/>
                <w:color w:val="000000"/>
                <w:sz w:val="22"/>
                <w:szCs w:val="22"/>
                <w:lang w:val="es-ES" w:eastAsia="es-ES"/>
              </w:rPr>
              <w:t>0</w:t>
            </w:r>
            <w:r w:rsidR="00C902A7">
              <w:rPr>
                <w:rFonts w:cs="Calibri"/>
                <w:b/>
                <w:bCs/>
                <w:color w:val="000000"/>
                <w:sz w:val="22"/>
                <w:szCs w:val="22"/>
                <w:lang w:val="es-ES" w:eastAsia="es-ES"/>
              </w:rPr>
              <w:t>4</w:t>
            </w:r>
            <w:r w:rsidRPr="00BB494A">
              <w:rPr>
                <w:rFonts w:cs="Calibri"/>
                <w:b/>
                <w:bCs/>
                <w:color w:val="000000"/>
                <w:sz w:val="22"/>
                <w:szCs w:val="22"/>
                <w:lang w:val="es-ES" w:eastAsia="es-ES"/>
              </w:rPr>
              <w:t>%</w:t>
            </w:r>
          </w:p>
        </w:tc>
      </w:tr>
      <w:tr w:rsidR="00BB494A" w:rsidRPr="00BB494A" w:rsidTr="00673704">
        <w:trPr>
          <w:trHeight w:val="300"/>
          <w:jc w:val="center"/>
        </w:trPr>
        <w:tc>
          <w:tcPr>
            <w:tcW w:w="3800" w:type="dxa"/>
            <w:gridSpan w:val="2"/>
            <w:tcBorders>
              <w:top w:val="single" w:sz="8" w:space="0" w:color="auto"/>
              <w:left w:val="nil"/>
              <w:bottom w:val="nil"/>
              <w:right w:val="nil"/>
            </w:tcBorders>
            <w:shd w:val="clear" w:color="auto" w:fill="auto"/>
            <w:noWrap/>
            <w:vAlign w:val="center"/>
            <w:hideMark/>
          </w:tcPr>
          <w:p w:rsidR="00BB494A" w:rsidRPr="00BB494A" w:rsidRDefault="00BB494A" w:rsidP="00673704">
            <w:pPr>
              <w:spacing w:after="0" w:line="240" w:lineRule="auto"/>
              <w:jc w:val="center"/>
              <w:rPr>
                <w:rFonts w:cs="Calibri"/>
                <w:color w:val="000000"/>
                <w:sz w:val="22"/>
                <w:szCs w:val="22"/>
                <w:lang w:val="es-ES" w:eastAsia="es-ES"/>
              </w:rPr>
            </w:pPr>
            <w:r w:rsidRPr="00BB494A">
              <w:rPr>
                <w:rFonts w:cs="Calibri"/>
                <w:color w:val="000000"/>
                <w:sz w:val="22"/>
                <w:szCs w:val="22"/>
                <w:lang w:eastAsia="es-ES"/>
              </w:rPr>
              <w:t>Fuente: Subdirección Financiera</w:t>
            </w:r>
          </w:p>
        </w:tc>
        <w:tc>
          <w:tcPr>
            <w:tcW w:w="1980" w:type="dxa"/>
            <w:tcBorders>
              <w:top w:val="nil"/>
              <w:left w:val="nil"/>
              <w:bottom w:val="nil"/>
              <w:right w:val="nil"/>
            </w:tcBorders>
            <w:shd w:val="clear" w:color="auto" w:fill="auto"/>
            <w:noWrap/>
            <w:vAlign w:val="bottom"/>
            <w:hideMark/>
          </w:tcPr>
          <w:p w:rsidR="00BB494A" w:rsidRPr="00BB494A" w:rsidRDefault="00BB494A" w:rsidP="00673704">
            <w:pPr>
              <w:spacing w:after="0" w:line="240" w:lineRule="auto"/>
              <w:jc w:val="center"/>
              <w:rPr>
                <w:rFonts w:cs="Calibri"/>
                <w:color w:val="000000"/>
                <w:sz w:val="22"/>
                <w:szCs w:val="22"/>
                <w:lang w:val="es-ES" w:eastAsia="es-ES"/>
              </w:rPr>
            </w:pPr>
          </w:p>
        </w:tc>
      </w:tr>
    </w:tbl>
    <w:p w:rsidR="0090669E" w:rsidRDefault="0090669E" w:rsidP="006F5240">
      <w:pPr>
        <w:pStyle w:val="CUERPO1"/>
        <w:spacing w:line="276" w:lineRule="auto"/>
        <w:rPr>
          <w:sz w:val="22"/>
          <w:szCs w:val="22"/>
        </w:rPr>
      </w:pPr>
    </w:p>
    <w:p w:rsidR="002D1A39" w:rsidRDefault="003A5C2C" w:rsidP="006F5240">
      <w:pPr>
        <w:pStyle w:val="CUERPO1"/>
        <w:spacing w:line="276" w:lineRule="auto"/>
        <w:rPr>
          <w:sz w:val="22"/>
          <w:szCs w:val="22"/>
          <w:lang w:val="es-MX"/>
        </w:rPr>
      </w:pPr>
      <w:r>
        <w:rPr>
          <w:sz w:val="22"/>
          <w:szCs w:val="22"/>
          <w:lang w:val="es-MX"/>
        </w:rPr>
        <w:t xml:space="preserve">Del cuadro 5 </w:t>
      </w:r>
      <w:r w:rsidR="00190E5A">
        <w:rPr>
          <w:sz w:val="22"/>
          <w:szCs w:val="22"/>
          <w:lang w:val="es-MX"/>
        </w:rPr>
        <w:t xml:space="preserve">se observa </w:t>
      </w:r>
      <w:r w:rsidR="00054A3C">
        <w:rPr>
          <w:sz w:val="22"/>
          <w:szCs w:val="22"/>
          <w:lang w:val="es-MX"/>
        </w:rPr>
        <w:t xml:space="preserve">que </w:t>
      </w:r>
      <w:r w:rsidR="00563BEB">
        <w:rPr>
          <w:sz w:val="22"/>
          <w:szCs w:val="22"/>
          <w:lang w:val="es-MX"/>
        </w:rPr>
        <w:t xml:space="preserve">a </w:t>
      </w:r>
      <w:r w:rsidR="002637A3">
        <w:rPr>
          <w:sz w:val="22"/>
          <w:szCs w:val="22"/>
        </w:rPr>
        <w:t>diciembre</w:t>
      </w:r>
      <w:r w:rsidR="002637A3">
        <w:rPr>
          <w:sz w:val="22"/>
          <w:szCs w:val="22"/>
          <w:lang w:val="es-MX"/>
        </w:rPr>
        <w:t xml:space="preserve"> 31</w:t>
      </w:r>
      <w:r w:rsidR="00054A3C">
        <w:rPr>
          <w:sz w:val="22"/>
          <w:szCs w:val="22"/>
          <w:lang w:val="es-MX"/>
        </w:rPr>
        <w:t xml:space="preserve"> d</w:t>
      </w:r>
      <w:r w:rsidR="004B1D94">
        <w:rPr>
          <w:sz w:val="22"/>
          <w:szCs w:val="22"/>
          <w:lang w:val="es-MX"/>
        </w:rPr>
        <w:t>e</w:t>
      </w:r>
      <w:r w:rsidR="00054A3C">
        <w:rPr>
          <w:sz w:val="22"/>
          <w:szCs w:val="22"/>
          <w:lang w:val="es-MX"/>
        </w:rPr>
        <w:t xml:space="preserve"> 201</w:t>
      </w:r>
      <w:r w:rsidR="00646BCE">
        <w:rPr>
          <w:sz w:val="22"/>
          <w:szCs w:val="22"/>
          <w:lang w:val="es-MX"/>
        </w:rPr>
        <w:t>9</w:t>
      </w:r>
      <w:r w:rsidR="004B1D94">
        <w:rPr>
          <w:sz w:val="22"/>
          <w:szCs w:val="22"/>
          <w:lang w:val="es-MX"/>
        </w:rPr>
        <w:t xml:space="preserve"> </w:t>
      </w:r>
      <w:r w:rsidR="00054A3C">
        <w:rPr>
          <w:sz w:val="22"/>
          <w:szCs w:val="22"/>
          <w:lang w:val="es-MX"/>
        </w:rPr>
        <w:t>la</w:t>
      </w:r>
      <w:r w:rsidR="004B1D94">
        <w:rPr>
          <w:sz w:val="22"/>
          <w:szCs w:val="22"/>
          <w:lang w:val="es-MX"/>
        </w:rPr>
        <w:t xml:space="preserve"> ejecución de </w:t>
      </w:r>
      <w:r w:rsidR="000D39AF">
        <w:rPr>
          <w:sz w:val="22"/>
          <w:szCs w:val="22"/>
          <w:lang w:val="es-MX"/>
        </w:rPr>
        <w:t>PAC</w:t>
      </w:r>
      <w:r w:rsidR="00054A3C">
        <w:rPr>
          <w:sz w:val="22"/>
          <w:szCs w:val="22"/>
          <w:lang w:val="es-MX"/>
        </w:rPr>
        <w:t xml:space="preserve"> es de 9</w:t>
      </w:r>
      <w:r w:rsidR="002D1F08">
        <w:rPr>
          <w:sz w:val="22"/>
          <w:szCs w:val="22"/>
          <w:lang w:val="es-MX"/>
        </w:rPr>
        <w:t>7.05</w:t>
      </w:r>
      <w:r w:rsidR="00043572">
        <w:rPr>
          <w:sz w:val="22"/>
          <w:szCs w:val="22"/>
          <w:lang w:val="es-MX"/>
        </w:rPr>
        <w:t>%</w:t>
      </w:r>
      <w:r w:rsidR="003737EB">
        <w:rPr>
          <w:sz w:val="22"/>
          <w:szCs w:val="22"/>
          <w:lang w:val="es-MX"/>
        </w:rPr>
        <w:t xml:space="preserve">, de acuerdo con lo </w:t>
      </w:r>
      <w:r w:rsidR="000D39AF">
        <w:rPr>
          <w:sz w:val="22"/>
          <w:szCs w:val="22"/>
          <w:lang w:val="es-MX"/>
        </w:rPr>
        <w:t>pro</w:t>
      </w:r>
      <w:r w:rsidR="00746708">
        <w:rPr>
          <w:sz w:val="22"/>
          <w:szCs w:val="22"/>
          <w:lang w:val="es-MX"/>
        </w:rPr>
        <w:t>gramado.</w:t>
      </w:r>
    </w:p>
    <w:p w:rsidR="00C902A7" w:rsidRDefault="00C902A7" w:rsidP="006F5240">
      <w:pPr>
        <w:pStyle w:val="CUERPO1"/>
        <w:spacing w:line="276" w:lineRule="auto"/>
        <w:rPr>
          <w:sz w:val="22"/>
          <w:szCs w:val="22"/>
          <w:lang w:val="es-MX"/>
        </w:rPr>
      </w:pPr>
      <w:r>
        <w:rPr>
          <w:sz w:val="22"/>
          <w:szCs w:val="22"/>
          <w:lang w:val="es-MX"/>
        </w:rPr>
        <w:t xml:space="preserve">No </w:t>
      </w:r>
      <w:r w:rsidR="0003772F">
        <w:rPr>
          <w:sz w:val="22"/>
          <w:szCs w:val="22"/>
          <w:lang w:val="es-MX"/>
        </w:rPr>
        <w:t>obstante,</w:t>
      </w:r>
      <w:r>
        <w:rPr>
          <w:sz w:val="22"/>
          <w:szCs w:val="22"/>
          <w:lang w:val="es-MX"/>
        </w:rPr>
        <w:t xml:space="preserve"> de acuerdo a la modificación del plan de acción desarrollado con la Dirección de Planeación en septiembre 19 de 2019, el PAC con corte a 30 de septiembre la ejecución </w:t>
      </w:r>
      <w:r w:rsidR="0003772F">
        <w:rPr>
          <w:sz w:val="22"/>
          <w:szCs w:val="22"/>
          <w:lang w:val="es-MX"/>
        </w:rPr>
        <w:t>es de</w:t>
      </w:r>
      <w:r>
        <w:rPr>
          <w:sz w:val="22"/>
          <w:szCs w:val="22"/>
          <w:lang w:val="es-MX"/>
        </w:rPr>
        <w:t xml:space="preserve"> 62.52% de acuerdo a lo programado.</w:t>
      </w:r>
    </w:p>
    <w:p w:rsidR="00373D6B" w:rsidRDefault="00373D6B" w:rsidP="005F13AD">
      <w:pPr>
        <w:pStyle w:val="CUERPO1"/>
        <w:spacing w:after="0" w:line="276" w:lineRule="auto"/>
        <w:jc w:val="center"/>
        <w:rPr>
          <w:b/>
          <w:szCs w:val="22"/>
          <w:lang w:val="es-MX"/>
        </w:rPr>
      </w:pPr>
    </w:p>
    <w:p w:rsidR="00760C73" w:rsidRDefault="00760C73" w:rsidP="00760C73">
      <w:pPr>
        <w:pStyle w:val="CUERPO1"/>
        <w:numPr>
          <w:ilvl w:val="2"/>
          <w:numId w:val="14"/>
        </w:numPr>
        <w:spacing w:line="276" w:lineRule="auto"/>
        <w:rPr>
          <w:b/>
          <w:sz w:val="22"/>
          <w:szCs w:val="22"/>
          <w:lang w:val="es-MX"/>
        </w:rPr>
      </w:pPr>
      <w:r w:rsidRPr="0004451E">
        <w:rPr>
          <w:b/>
          <w:sz w:val="22"/>
          <w:szCs w:val="22"/>
          <w:lang w:val="es-MX"/>
        </w:rPr>
        <w:t>E</w:t>
      </w:r>
      <w:r>
        <w:rPr>
          <w:b/>
          <w:sz w:val="22"/>
          <w:szCs w:val="22"/>
          <w:lang w:val="es-MX"/>
        </w:rPr>
        <w:t>stados Financieros</w:t>
      </w:r>
    </w:p>
    <w:p w:rsidR="00373D6B" w:rsidRDefault="00373D6B" w:rsidP="00760C73">
      <w:pPr>
        <w:pStyle w:val="CUERPO1"/>
        <w:spacing w:line="276" w:lineRule="auto"/>
        <w:rPr>
          <w:b/>
          <w:sz w:val="22"/>
          <w:szCs w:val="22"/>
          <w:lang w:val="es-MX"/>
        </w:rPr>
      </w:pPr>
    </w:p>
    <w:p w:rsidR="00760C73" w:rsidRDefault="00760C73" w:rsidP="00760C73">
      <w:pPr>
        <w:pStyle w:val="CUERPO1"/>
        <w:spacing w:line="276" w:lineRule="auto"/>
        <w:rPr>
          <w:sz w:val="22"/>
          <w:szCs w:val="22"/>
          <w:lang w:val="es-MX"/>
        </w:rPr>
      </w:pPr>
      <w:r w:rsidRPr="00373D6B">
        <w:rPr>
          <w:b/>
          <w:sz w:val="22"/>
          <w:szCs w:val="22"/>
          <w:lang w:val="es-MX"/>
        </w:rPr>
        <w:t>OBJETIVO DEL INDICADOR:</w:t>
      </w:r>
      <w:r>
        <w:rPr>
          <w:sz w:val="22"/>
          <w:szCs w:val="22"/>
          <w:lang w:val="es-MX"/>
        </w:rPr>
        <w:t xml:space="preserve"> </w:t>
      </w:r>
      <w:r w:rsidRPr="00760C73">
        <w:rPr>
          <w:sz w:val="22"/>
          <w:szCs w:val="22"/>
          <w:lang w:val="es-MX"/>
        </w:rPr>
        <w:t>Reportar información de los estados contables de manera oportuna y confiable</w:t>
      </w:r>
      <w:r>
        <w:rPr>
          <w:sz w:val="22"/>
          <w:szCs w:val="22"/>
          <w:lang w:val="es-MX"/>
        </w:rPr>
        <w:t>.</w:t>
      </w:r>
    </w:p>
    <w:p w:rsidR="00760C73" w:rsidRPr="00760C73" w:rsidRDefault="00760C73" w:rsidP="00760C73">
      <w:pPr>
        <w:pStyle w:val="CUERPO1"/>
        <w:spacing w:line="276" w:lineRule="auto"/>
        <w:rPr>
          <w:sz w:val="22"/>
          <w:szCs w:val="22"/>
          <w:lang w:val="es-MX"/>
        </w:rPr>
      </w:pPr>
      <w:r w:rsidRPr="00373D6B">
        <w:rPr>
          <w:b/>
          <w:sz w:val="22"/>
          <w:szCs w:val="22"/>
          <w:lang w:val="es-MX"/>
        </w:rPr>
        <w:t>FÓRMULA:</w:t>
      </w:r>
      <w:r w:rsidRPr="00760C73">
        <w:rPr>
          <w:sz w:val="22"/>
          <w:szCs w:val="22"/>
          <w:lang w:val="es-MX"/>
        </w:rPr>
        <w:t xml:space="preserve"> </w:t>
      </w:r>
      <m:oMath>
        <m:f>
          <m:fPr>
            <m:ctrlPr>
              <w:rPr>
                <w:rFonts w:ascii="Cambria Math" w:hAnsi="Cambria Math"/>
                <w:i/>
                <w:sz w:val="22"/>
                <w:szCs w:val="22"/>
                <w:lang w:val="es-MX"/>
              </w:rPr>
            </m:ctrlPr>
          </m:fPr>
          <m:num>
            <m:r>
              <w:rPr>
                <w:rFonts w:ascii="Cambria Math" w:hAnsi="Cambria Math"/>
                <w:sz w:val="22"/>
                <w:szCs w:val="22"/>
                <w:lang w:val="es-MX"/>
              </w:rPr>
              <m:t>Estados financieros reportados</m:t>
            </m:r>
          </m:num>
          <m:den>
            <m:r>
              <w:rPr>
                <w:rFonts w:ascii="Cambria Math" w:hAnsi="Cambria Math"/>
                <w:sz w:val="22"/>
                <w:szCs w:val="22"/>
                <w:lang w:val="es-MX"/>
              </w:rPr>
              <m:t>Estados financieros programados</m:t>
            </m:r>
          </m:den>
        </m:f>
      </m:oMath>
    </w:p>
    <w:p w:rsidR="00760C73" w:rsidRPr="00760C73" w:rsidRDefault="00760C73" w:rsidP="00760C73">
      <w:pPr>
        <w:pStyle w:val="CUERPO1"/>
        <w:spacing w:line="276" w:lineRule="auto"/>
        <w:rPr>
          <w:sz w:val="22"/>
          <w:szCs w:val="22"/>
          <w:lang w:val="es-MX"/>
        </w:rPr>
      </w:pPr>
      <w:r w:rsidRPr="00373D6B">
        <w:rPr>
          <w:b/>
          <w:sz w:val="22"/>
          <w:szCs w:val="22"/>
          <w:lang w:val="es-MX"/>
        </w:rPr>
        <w:t>RESULTADO:</w:t>
      </w:r>
      <w:r w:rsidRPr="00760C73">
        <w:rPr>
          <w:sz w:val="22"/>
          <w:szCs w:val="22"/>
          <w:lang w:val="es-MX"/>
        </w:rPr>
        <w:t xml:space="preserve"> </w:t>
      </w:r>
      <w:r w:rsidR="00C73537">
        <w:rPr>
          <w:sz w:val="22"/>
          <w:szCs w:val="22"/>
          <w:lang w:val="es-MX"/>
        </w:rPr>
        <w:t>100</w:t>
      </w:r>
      <w:r w:rsidRPr="00760C73">
        <w:rPr>
          <w:sz w:val="22"/>
          <w:szCs w:val="22"/>
          <w:lang w:val="es-MX"/>
        </w:rPr>
        <w:t>%</w:t>
      </w:r>
    </w:p>
    <w:p w:rsidR="002D1A39" w:rsidRDefault="002D1A39" w:rsidP="00760C73">
      <w:pPr>
        <w:pStyle w:val="CUERPO1"/>
        <w:spacing w:line="276" w:lineRule="auto"/>
        <w:rPr>
          <w:b/>
          <w:sz w:val="22"/>
          <w:szCs w:val="22"/>
          <w:lang w:val="es-MX"/>
        </w:rPr>
      </w:pPr>
    </w:p>
    <w:p w:rsidR="00033C89" w:rsidRDefault="00760C73" w:rsidP="00DC2AED">
      <w:pPr>
        <w:pStyle w:val="CUERPO1"/>
        <w:spacing w:line="276" w:lineRule="auto"/>
        <w:rPr>
          <w:sz w:val="22"/>
          <w:szCs w:val="22"/>
          <w:lang w:val="es-MX"/>
        </w:rPr>
      </w:pPr>
      <w:r w:rsidRPr="00142B8A">
        <w:rPr>
          <w:b/>
          <w:sz w:val="22"/>
          <w:szCs w:val="22"/>
          <w:lang w:val="es-MX"/>
        </w:rPr>
        <w:t>ANÁLISIS</w:t>
      </w:r>
      <w:r w:rsidRPr="00760C73">
        <w:rPr>
          <w:sz w:val="22"/>
          <w:szCs w:val="22"/>
          <w:lang w:val="es-MX"/>
        </w:rPr>
        <w:t>: E</w:t>
      </w:r>
      <w:r w:rsidR="009D4339" w:rsidRPr="00760C73">
        <w:rPr>
          <w:sz w:val="22"/>
          <w:szCs w:val="22"/>
          <w:lang w:val="es-MX"/>
        </w:rPr>
        <w:t>l área de co</w:t>
      </w:r>
      <w:r w:rsidR="00563BEB">
        <w:rPr>
          <w:sz w:val="22"/>
          <w:szCs w:val="22"/>
          <w:lang w:val="es-MX"/>
        </w:rPr>
        <w:t>nta</w:t>
      </w:r>
      <w:r w:rsidR="00A776B7">
        <w:rPr>
          <w:sz w:val="22"/>
          <w:szCs w:val="22"/>
          <w:lang w:val="es-MX"/>
        </w:rPr>
        <w:t xml:space="preserve">bilidad a 31 de </w:t>
      </w:r>
      <w:r w:rsidR="00B301DB">
        <w:rPr>
          <w:sz w:val="22"/>
          <w:szCs w:val="22"/>
          <w:lang w:val="es-MX"/>
        </w:rPr>
        <w:t>diciembre del</w:t>
      </w:r>
      <w:r w:rsidR="009A5ECD">
        <w:rPr>
          <w:sz w:val="22"/>
          <w:szCs w:val="22"/>
          <w:lang w:val="es-MX"/>
        </w:rPr>
        <w:t xml:space="preserve"> 201</w:t>
      </w:r>
      <w:r w:rsidR="00646BCE">
        <w:rPr>
          <w:sz w:val="22"/>
          <w:szCs w:val="22"/>
          <w:lang w:val="es-MX"/>
        </w:rPr>
        <w:t>9</w:t>
      </w:r>
      <w:r w:rsidR="009D4339" w:rsidRPr="00760C73">
        <w:rPr>
          <w:sz w:val="22"/>
          <w:szCs w:val="22"/>
          <w:lang w:val="es-MX"/>
        </w:rPr>
        <w:t xml:space="preserve"> </w:t>
      </w:r>
      <w:r w:rsidR="002A4DE7" w:rsidRPr="00760C73">
        <w:rPr>
          <w:sz w:val="22"/>
          <w:szCs w:val="22"/>
          <w:lang w:val="es-MX"/>
        </w:rPr>
        <w:t>progra</w:t>
      </w:r>
      <w:r w:rsidR="002A4DE7">
        <w:rPr>
          <w:sz w:val="22"/>
          <w:szCs w:val="22"/>
          <w:lang w:val="es-MX"/>
        </w:rPr>
        <w:t>mó</w:t>
      </w:r>
      <w:r w:rsidR="00373D6B">
        <w:rPr>
          <w:sz w:val="22"/>
          <w:szCs w:val="22"/>
          <w:lang w:val="es-MX"/>
        </w:rPr>
        <w:t xml:space="preserve"> </w:t>
      </w:r>
      <w:r w:rsidR="00A776B7">
        <w:rPr>
          <w:color w:val="000000" w:themeColor="text1"/>
          <w:sz w:val="22"/>
          <w:szCs w:val="22"/>
          <w:lang w:val="es-MX"/>
        </w:rPr>
        <w:t>reportar 4</w:t>
      </w:r>
      <w:r w:rsidR="00EA480E">
        <w:rPr>
          <w:color w:val="000000" w:themeColor="text1"/>
          <w:sz w:val="22"/>
          <w:szCs w:val="22"/>
          <w:lang w:val="es-MX"/>
        </w:rPr>
        <w:t xml:space="preserve"> </w:t>
      </w:r>
      <w:r w:rsidR="00373D6B">
        <w:rPr>
          <w:sz w:val="22"/>
          <w:szCs w:val="22"/>
          <w:lang w:val="es-MX"/>
        </w:rPr>
        <w:t>E</w:t>
      </w:r>
      <w:r w:rsidR="009D4339" w:rsidRPr="00760C73">
        <w:rPr>
          <w:sz w:val="22"/>
          <w:szCs w:val="22"/>
          <w:lang w:val="es-MX"/>
        </w:rPr>
        <w:t xml:space="preserve">stados </w:t>
      </w:r>
      <w:r w:rsidR="00373D6B">
        <w:rPr>
          <w:sz w:val="22"/>
          <w:szCs w:val="22"/>
          <w:lang w:val="es-MX"/>
        </w:rPr>
        <w:t>F</w:t>
      </w:r>
      <w:r w:rsidR="009D4339" w:rsidRPr="00760C73">
        <w:rPr>
          <w:sz w:val="22"/>
          <w:szCs w:val="22"/>
          <w:lang w:val="es-MX"/>
        </w:rPr>
        <w:t xml:space="preserve">inancieros, los cuales </w:t>
      </w:r>
      <w:r w:rsidR="00D22E9F">
        <w:rPr>
          <w:sz w:val="22"/>
          <w:szCs w:val="22"/>
          <w:lang w:val="es-MX"/>
        </w:rPr>
        <w:t xml:space="preserve">fueron </w:t>
      </w:r>
      <w:r w:rsidR="009D4339" w:rsidRPr="00760C73">
        <w:rPr>
          <w:sz w:val="22"/>
          <w:szCs w:val="22"/>
          <w:lang w:val="es-MX"/>
        </w:rPr>
        <w:t xml:space="preserve">proyectados para ser presentados </w:t>
      </w:r>
      <w:r w:rsidR="00D22E9F">
        <w:rPr>
          <w:sz w:val="22"/>
          <w:szCs w:val="22"/>
          <w:lang w:val="es-MX"/>
        </w:rPr>
        <w:t>cada</w:t>
      </w:r>
      <w:r w:rsidR="009D4339" w:rsidRPr="00760C73">
        <w:rPr>
          <w:sz w:val="22"/>
          <w:szCs w:val="22"/>
          <w:lang w:val="es-MX"/>
        </w:rPr>
        <w:t xml:space="preserve"> trimestre (ma</w:t>
      </w:r>
      <w:r w:rsidR="00330A45">
        <w:rPr>
          <w:sz w:val="22"/>
          <w:szCs w:val="22"/>
          <w:lang w:val="es-MX"/>
        </w:rPr>
        <w:t>rz</w:t>
      </w:r>
      <w:r w:rsidR="009A5ECD">
        <w:rPr>
          <w:sz w:val="22"/>
          <w:szCs w:val="22"/>
          <w:lang w:val="es-MX"/>
        </w:rPr>
        <w:t>o, junio</w:t>
      </w:r>
      <w:r w:rsidR="00175FC4">
        <w:rPr>
          <w:sz w:val="22"/>
          <w:szCs w:val="22"/>
          <w:lang w:val="es-MX"/>
        </w:rPr>
        <w:t>, septiembre</w:t>
      </w:r>
      <w:r w:rsidR="002637A3">
        <w:rPr>
          <w:sz w:val="22"/>
          <w:szCs w:val="22"/>
          <w:lang w:val="es-MX"/>
        </w:rPr>
        <w:t>, diciembre</w:t>
      </w:r>
      <w:r w:rsidR="00CC64D5">
        <w:rPr>
          <w:sz w:val="22"/>
          <w:szCs w:val="22"/>
          <w:lang w:val="es-MX"/>
        </w:rPr>
        <w:t xml:space="preserve">). </w:t>
      </w:r>
      <w:r w:rsidR="00D22E9F">
        <w:rPr>
          <w:sz w:val="22"/>
          <w:szCs w:val="22"/>
          <w:lang w:val="es-MX"/>
        </w:rPr>
        <w:t>A</w:t>
      </w:r>
      <w:r w:rsidR="00CC64D5">
        <w:rPr>
          <w:sz w:val="22"/>
          <w:szCs w:val="22"/>
          <w:lang w:val="es-MX"/>
        </w:rPr>
        <w:t xml:space="preserve"> </w:t>
      </w:r>
      <w:r w:rsidR="002637A3">
        <w:rPr>
          <w:sz w:val="22"/>
          <w:szCs w:val="22"/>
          <w:lang w:val="es-MX"/>
        </w:rPr>
        <w:t>diciembre 31</w:t>
      </w:r>
      <w:r w:rsidR="00EA480E">
        <w:rPr>
          <w:sz w:val="22"/>
          <w:szCs w:val="22"/>
          <w:lang w:val="es-MX"/>
        </w:rPr>
        <w:t xml:space="preserve"> del</w:t>
      </w:r>
      <w:r w:rsidR="009A5ECD">
        <w:rPr>
          <w:sz w:val="22"/>
          <w:szCs w:val="22"/>
          <w:lang w:val="es-MX"/>
        </w:rPr>
        <w:t xml:space="preserve"> 201</w:t>
      </w:r>
      <w:r w:rsidR="00646BCE">
        <w:rPr>
          <w:sz w:val="22"/>
          <w:szCs w:val="22"/>
          <w:lang w:val="es-MX"/>
        </w:rPr>
        <w:t>9</w:t>
      </w:r>
      <w:r>
        <w:rPr>
          <w:sz w:val="22"/>
          <w:szCs w:val="22"/>
          <w:lang w:val="es-MX"/>
        </w:rPr>
        <w:t xml:space="preserve"> </w:t>
      </w:r>
      <w:r w:rsidR="00175FC4">
        <w:rPr>
          <w:sz w:val="22"/>
          <w:szCs w:val="22"/>
          <w:lang w:val="es-MX"/>
        </w:rPr>
        <w:t>que</w:t>
      </w:r>
      <w:r w:rsidR="002637A3">
        <w:rPr>
          <w:sz w:val="22"/>
          <w:szCs w:val="22"/>
          <w:lang w:val="es-MX"/>
        </w:rPr>
        <w:t xml:space="preserve"> se presentara el 10 de enero del 2019 cumpliríamos con el 100</w:t>
      </w:r>
      <w:r w:rsidR="009A5ECD">
        <w:rPr>
          <w:sz w:val="22"/>
          <w:szCs w:val="22"/>
          <w:lang w:val="es-MX"/>
        </w:rPr>
        <w:t xml:space="preserve"> </w:t>
      </w:r>
      <w:r>
        <w:rPr>
          <w:sz w:val="22"/>
          <w:szCs w:val="22"/>
          <w:lang w:val="es-MX"/>
        </w:rPr>
        <w:t xml:space="preserve">% de la meta. </w:t>
      </w:r>
    </w:p>
    <w:p w:rsidR="00DC2AED" w:rsidRDefault="00251C85" w:rsidP="00DC2AED">
      <w:pPr>
        <w:pStyle w:val="CUERPO1"/>
        <w:spacing w:line="276" w:lineRule="auto"/>
        <w:rPr>
          <w:sz w:val="22"/>
          <w:szCs w:val="22"/>
          <w:lang w:val="es-MX"/>
        </w:rPr>
      </w:pPr>
      <w:r>
        <w:rPr>
          <w:sz w:val="22"/>
          <w:szCs w:val="22"/>
          <w:lang w:val="es-MX"/>
        </w:rPr>
        <w:t xml:space="preserve">No </w:t>
      </w:r>
      <w:r w:rsidR="0003772F">
        <w:rPr>
          <w:sz w:val="22"/>
          <w:szCs w:val="22"/>
          <w:lang w:val="es-MX"/>
        </w:rPr>
        <w:t>obstante,</w:t>
      </w:r>
      <w:r>
        <w:rPr>
          <w:sz w:val="22"/>
          <w:szCs w:val="22"/>
          <w:lang w:val="es-MX"/>
        </w:rPr>
        <w:t xml:space="preserve"> de acuerdo a la modificación del plan de acción desarrollado con la Dirección de Planeación en septiembre 19 de 2019</w:t>
      </w:r>
      <w:r>
        <w:rPr>
          <w:sz w:val="22"/>
          <w:szCs w:val="22"/>
          <w:lang w:val="es-MX"/>
        </w:rPr>
        <w:t>, este indicador se cumplió al 100% a corte 30 de septiembre de 2019, en adelante no se medirá dado que siempre se cumple al 100% por la obligatoriedad del cumplimiento de la normatividad legal vigente.</w:t>
      </w:r>
    </w:p>
    <w:p w:rsidR="00E0327E" w:rsidRPr="00D50C12" w:rsidRDefault="00D50C12" w:rsidP="00457BB0">
      <w:pPr>
        <w:pStyle w:val="CUERPO1"/>
        <w:numPr>
          <w:ilvl w:val="2"/>
          <w:numId w:val="14"/>
        </w:numPr>
        <w:spacing w:line="276" w:lineRule="auto"/>
        <w:rPr>
          <w:b/>
          <w:sz w:val="22"/>
          <w:szCs w:val="22"/>
          <w:lang w:val="es-MX"/>
        </w:rPr>
      </w:pPr>
      <w:r w:rsidRPr="00D50C12">
        <w:rPr>
          <w:b/>
          <w:sz w:val="22"/>
          <w:szCs w:val="22"/>
          <w:lang w:val="es-MX"/>
        </w:rPr>
        <w:lastRenderedPageBreak/>
        <w:t>Promedio del tiempo de pago de las cuentas radicadas en la Subdirección Financiera</w:t>
      </w:r>
      <w:r w:rsidR="00E0327E" w:rsidRPr="00D50C12">
        <w:rPr>
          <w:b/>
          <w:sz w:val="22"/>
          <w:szCs w:val="22"/>
          <w:lang w:val="es-MX"/>
        </w:rPr>
        <w:t xml:space="preserve"> </w:t>
      </w:r>
    </w:p>
    <w:p w:rsidR="00E0327E" w:rsidRDefault="00E0327E" w:rsidP="00E0327E">
      <w:pPr>
        <w:pStyle w:val="CUERPO1"/>
        <w:spacing w:line="276" w:lineRule="auto"/>
        <w:rPr>
          <w:sz w:val="22"/>
          <w:szCs w:val="22"/>
          <w:lang w:val="es-MX"/>
        </w:rPr>
      </w:pPr>
      <w:r w:rsidRPr="00373D6B">
        <w:rPr>
          <w:b/>
          <w:sz w:val="22"/>
          <w:szCs w:val="22"/>
          <w:lang w:val="es-MX"/>
        </w:rPr>
        <w:t>OBJETIVO DEL INDICADOR</w:t>
      </w:r>
      <w:r>
        <w:rPr>
          <w:b/>
          <w:sz w:val="22"/>
          <w:szCs w:val="22"/>
          <w:lang w:val="es-MX"/>
        </w:rPr>
        <w:t>:</w:t>
      </w:r>
      <w:r w:rsidRPr="00E0327E">
        <w:t xml:space="preserve"> </w:t>
      </w:r>
      <w:r w:rsidRPr="00E0327E">
        <w:rPr>
          <w:sz w:val="22"/>
          <w:szCs w:val="22"/>
          <w:lang w:val="es-MX"/>
        </w:rPr>
        <w:t>Medir la oportunidad en el tiempo de pago de las cuentas radicadas en la Subdirección Financiera</w:t>
      </w:r>
    </w:p>
    <w:p w:rsidR="00E0327E" w:rsidRPr="00760C73" w:rsidRDefault="00E0327E" w:rsidP="00E0327E">
      <w:pPr>
        <w:pStyle w:val="CUERPO1"/>
        <w:spacing w:line="276" w:lineRule="auto"/>
        <w:rPr>
          <w:sz w:val="22"/>
          <w:szCs w:val="22"/>
          <w:lang w:val="es-MX"/>
        </w:rPr>
      </w:pPr>
      <w:r w:rsidRPr="00373D6B">
        <w:rPr>
          <w:b/>
          <w:sz w:val="22"/>
          <w:szCs w:val="22"/>
          <w:lang w:val="es-MX"/>
        </w:rPr>
        <w:t>FÓRMULA:</w:t>
      </w:r>
      <w:r w:rsidRPr="00760C73">
        <w:rPr>
          <w:sz w:val="22"/>
          <w:szCs w:val="22"/>
          <w:lang w:val="es-MX"/>
        </w:rPr>
        <w:t xml:space="preserve"> </w:t>
      </w:r>
      <m:oMath>
        <m:f>
          <m:fPr>
            <m:type m:val="noBar"/>
            <m:ctrlPr>
              <w:rPr>
                <w:rFonts w:ascii="Cambria Math" w:hAnsi="Cambria Math"/>
                <w:i/>
                <w:sz w:val="22"/>
                <w:szCs w:val="22"/>
                <w:lang w:val="es-MX"/>
              </w:rPr>
            </m:ctrlPr>
          </m:fPr>
          <m:num>
            <m:r>
              <w:rPr>
                <w:rFonts w:ascii="Cambria Math" w:hAnsi="Cambria Math"/>
                <w:sz w:val="22"/>
                <w:szCs w:val="22"/>
                <w:lang w:val="es-MX"/>
              </w:rPr>
              <m:t>Pronedio de tiempo utilizado en tramitar los pagos,   desde la fecha de radicación hasta la fecha efectiva de pago</m:t>
            </m:r>
          </m:num>
          <m:den/>
        </m:f>
      </m:oMath>
    </w:p>
    <w:p w:rsidR="00E0327E" w:rsidRPr="00760C73" w:rsidRDefault="00E0327E" w:rsidP="00E0327E">
      <w:pPr>
        <w:pStyle w:val="CUERPO1"/>
        <w:spacing w:line="276" w:lineRule="auto"/>
        <w:rPr>
          <w:sz w:val="22"/>
          <w:szCs w:val="22"/>
          <w:lang w:val="es-MX"/>
        </w:rPr>
      </w:pPr>
      <w:r w:rsidRPr="00373D6B">
        <w:rPr>
          <w:b/>
          <w:sz w:val="22"/>
          <w:szCs w:val="22"/>
          <w:lang w:val="es-MX"/>
        </w:rPr>
        <w:t>RESULTADO:</w:t>
      </w:r>
      <w:r w:rsidRPr="00760C73">
        <w:rPr>
          <w:sz w:val="22"/>
          <w:szCs w:val="22"/>
          <w:lang w:val="es-MX"/>
        </w:rPr>
        <w:t xml:space="preserve"> </w:t>
      </w:r>
      <w:r>
        <w:rPr>
          <w:sz w:val="22"/>
          <w:szCs w:val="22"/>
          <w:lang w:val="es-MX"/>
        </w:rPr>
        <w:t>100</w:t>
      </w:r>
      <w:r w:rsidRPr="00760C73">
        <w:rPr>
          <w:sz w:val="22"/>
          <w:szCs w:val="22"/>
          <w:lang w:val="es-MX"/>
        </w:rPr>
        <w:t>%</w:t>
      </w:r>
    </w:p>
    <w:p w:rsidR="00E0327E" w:rsidRDefault="00E0327E" w:rsidP="00E0327E">
      <w:pPr>
        <w:pStyle w:val="CUERPO1"/>
        <w:spacing w:line="276" w:lineRule="auto"/>
        <w:rPr>
          <w:b/>
          <w:sz w:val="22"/>
          <w:szCs w:val="22"/>
          <w:lang w:val="es-MX"/>
        </w:rPr>
      </w:pPr>
    </w:p>
    <w:p w:rsidR="00D50C12" w:rsidRDefault="00E0327E" w:rsidP="00D50C12">
      <w:pPr>
        <w:pStyle w:val="CUERPO1"/>
        <w:spacing w:line="276" w:lineRule="auto"/>
        <w:rPr>
          <w:sz w:val="22"/>
          <w:szCs w:val="22"/>
          <w:lang w:val="es-MX"/>
        </w:rPr>
      </w:pPr>
      <w:r w:rsidRPr="00142B8A">
        <w:rPr>
          <w:b/>
          <w:sz w:val="22"/>
          <w:szCs w:val="22"/>
          <w:lang w:val="es-MX"/>
        </w:rPr>
        <w:t>ANÁLISIS</w:t>
      </w:r>
      <w:r w:rsidRPr="00760C73">
        <w:rPr>
          <w:sz w:val="22"/>
          <w:szCs w:val="22"/>
          <w:lang w:val="es-MX"/>
        </w:rPr>
        <w:t>:</w:t>
      </w:r>
      <w:r w:rsidR="00D50C12">
        <w:rPr>
          <w:sz w:val="22"/>
          <w:szCs w:val="22"/>
          <w:lang w:val="es-MX"/>
        </w:rPr>
        <w:t xml:space="preserve"> En el cuarto trimestre</w:t>
      </w:r>
      <w:r w:rsidRPr="00760C73">
        <w:rPr>
          <w:sz w:val="22"/>
          <w:szCs w:val="22"/>
          <w:lang w:val="es-MX"/>
        </w:rPr>
        <w:t xml:space="preserve"> </w:t>
      </w:r>
      <w:r w:rsidR="00D50C12">
        <w:rPr>
          <w:sz w:val="22"/>
          <w:szCs w:val="22"/>
          <w:lang w:val="es-MX"/>
        </w:rPr>
        <w:t>la subdirección financiera a</w:t>
      </w:r>
      <w:r>
        <w:rPr>
          <w:sz w:val="22"/>
          <w:szCs w:val="22"/>
          <w:lang w:val="es-MX"/>
        </w:rPr>
        <w:t xml:space="preserve"> 31 de diciembre de 2019</w:t>
      </w:r>
      <w:r w:rsidR="00D50C12">
        <w:rPr>
          <w:sz w:val="22"/>
          <w:szCs w:val="22"/>
          <w:lang w:val="es-MX"/>
        </w:rPr>
        <w:t>, de acuerdo a la radicación de las órdenes de pago recibidas, tramito los pagos en promedio de (2) dos días</w:t>
      </w:r>
      <w:r w:rsidR="00497698">
        <w:rPr>
          <w:sz w:val="22"/>
          <w:szCs w:val="22"/>
          <w:lang w:val="es-MX"/>
        </w:rPr>
        <w:t>, con un cumplimiento del 100%.</w:t>
      </w:r>
    </w:p>
    <w:p w:rsidR="00E0327E" w:rsidRDefault="00E0327E" w:rsidP="00E0327E">
      <w:pPr>
        <w:pStyle w:val="CUERPO1"/>
        <w:spacing w:line="276" w:lineRule="auto"/>
        <w:rPr>
          <w:sz w:val="22"/>
          <w:szCs w:val="22"/>
          <w:lang w:val="es-MX"/>
        </w:rPr>
      </w:pPr>
    </w:p>
    <w:p w:rsidR="00E0327E" w:rsidRDefault="00E0327E" w:rsidP="00DC2AED">
      <w:pPr>
        <w:pStyle w:val="CUERPO1"/>
        <w:spacing w:line="276" w:lineRule="auto"/>
        <w:rPr>
          <w:sz w:val="22"/>
          <w:szCs w:val="22"/>
          <w:lang w:val="es-MX"/>
        </w:rPr>
      </w:pPr>
    </w:p>
    <w:p w:rsidR="004021E1" w:rsidRPr="00F73685" w:rsidRDefault="004021E1" w:rsidP="00F73685">
      <w:pPr>
        <w:pStyle w:val="Prrafodelista"/>
        <w:numPr>
          <w:ilvl w:val="1"/>
          <w:numId w:val="33"/>
        </w:numPr>
        <w:spacing w:after="0" w:line="240" w:lineRule="auto"/>
        <w:jc w:val="both"/>
        <w:rPr>
          <w:rFonts w:ascii="Arial" w:hAnsi="Arial" w:cs="Arial"/>
          <w:b/>
          <w:sz w:val="22"/>
          <w:szCs w:val="22"/>
        </w:rPr>
      </w:pPr>
      <w:r w:rsidRPr="00F73685">
        <w:rPr>
          <w:rFonts w:ascii="Arial" w:hAnsi="Arial" w:cs="Arial"/>
          <w:b/>
          <w:sz w:val="22"/>
          <w:szCs w:val="22"/>
        </w:rPr>
        <w:t>Otros resultados</w:t>
      </w:r>
    </w:p>
    <w:p w:rsidR="004021E1" w:rsidRDefault="004021E1" w:rsidP="004021E1">
      <w:pPr>
        <w:pStyle w:val="Prrafodelista"/>
        <w:spacing w:after="0" w:line="240" w:lineRule="auto"/>
        <w:ind w:left="1080"/>
        <w:jc w:val="both"/>
        <w:rPr>
          <w:rFonts w:ascii="Arial" w:hAnsi="Arial" w:cs="Arial"/>
          <w:sz w:val="22"/>
          <w:szCs w:val="22"/>
        </w:rPr>
      </w:pPr>
    </w:p>
    <w:p w:rsidR="004021E1" w:rsidRPr="00CF551F" w:rsidRDefault="004021E1" w:rsidP="00F73685">
      <w:pPr>
        <w:pStyle w:val="Prrafodelista"/>
        <w:numPr>
          <w:ilvl w:val="2"/>
          <w:numId w:val="33"/>
        </w:numPr>
        <w:spacing w:after="0" w:line="240" w:lineRule="auto"/>
        <w:jc w:val="both"/>
        <w:rPr>
          <w:rFonts w:ascii="Arial" w:hAnsi="Arial" w:cs="Arial"/>
          <w:b/>
          <w:sz w:val="22"/>
          <w:szCs w:val="22"/>
        </w:rPr>
      </w:pPr>
      <w:r w:rsidRPr="00CF551F">
        <w:rPr>
          <w:rFonts w:ascii="Arial" w:hAnsi="Arial" w:cs="Arial"/>
          <w:b/>
          <w:sz w:val="22"/>
          <w:szCs w:val="22"/>
        </w:rPr>
        <w:t>Actividades que han contribuido al Cumplimiento del Plan Estratégico y que no han sido contemplados en el Plan de Acción.</w:t>
      </w:r>
    </w:p>
    <w:p w:rsidR="004021E1" w:rsidRPr="00575CA9" w:rsidRDefault="004021E1" w:rsidP="004021E1">
      <w:pPr>
        <w:pStyle w:val="Prrafodelista"/>
        <w:spacing w:after="0" w:line="240" w:lineRule="auto"/>
        <w:ind w:left="1800"/>
        <w:jc w:val="both"/>
        <w:rPr>
          <w:rFonts w:ascii="Arial" w:hAnsi="Arial" w:cs="Arial"/>
          <w:sz w:val="22"/>
          <w:szCs w:val="22"/>
        </w:rPr>
      </w:pPr>
    </w:p>
    <w:p w:rsidR="002804EA" w:rsidRPr="00D53302" w:rsidRDefault="002804EA" w:rsidP="00D53302">
      <w:pPr>
        <w:numPr>
          <w:ilvl w:val="0"/>
          <w:numId w:val="16"/>
        </w:numPr>
        <w:spacing w:line="276" w:lineRule="auto"/>
        <w:jc w:val="both"/>
        <w:rPr>
          <w:rFonts w:ascii="Arial" w:hAnsi="Arial" w:cs="Arial"/>
          <w:sz w:val="22"/>
          <w:szCs w:val="22"/>
        </w:rPr>
      </w:pPr>
      <w:r w:rsidRPr="00D53302">
        <w:rPr>
          <w:rFonts w:ascii="Arial" w:hAnsi="Arial" w:cs="Arial"/>
          <w:sz w:val="22"/>
          <w:szCs w:val="22"/>
        </w:rPr>
        <w:t>De forma oportuna se realizó la proyección de los indicadores financieros y se evaluó sin contratiempo de acuerdo al cronograma de los pliegos de condiciones de los procesos.</w:t>
      </w:r>
    </w:p>
    <w:p w:rsidR="002804EA" w:rsidRDefault="002804EA" w:rsidP="00D53302">
      <w:pPr>
        <w:numPr>
          <w:ilvl w:val="0"/>
          <w:numId w:val="16"/>
        </w:numPr>
        <w:spacing w:line="276" w:lineRule="auto"/>
        <w:jc w:val="both"/>
        <w:rPr>
          <w:rFonts w:ascii="Arial" w:hAnsi="Arial" w:cs="Arial"/>
          <w:sz w:val="22"/>
          <w:szCs w:val="22"/>
        </w:rPr>
      </w:pPr>
      <w:r w:rsidRPr="00D53302">
        <w:rPr>
          <w:rFonts w:ascii="Arial" w:hAnsi="Arial" w:cs="Arial"/>
          <w:sz w:val="22"/>
          <w:szCs w:val="22"/>
        </w:rPr>
        <w:t xml:space="preserve">Los movimientos de los rubros del gasto de unidad ejecutora 01 a </w:t>
      </w:r>
      <w:r w:rsidR="002637A3">
        <w:rPr>
          <w:rFonts w:ascii="Arial" w:hAnsi="Arial" w:cs="Arial"/>
          <w:sz w:val="22"/>
          <w:szCs w:val="22"/>
        </w:rPr>
        <w:t>31 de diciembre</w:t>
      </w:r>
      <w:r w:rsidR="009A5ECD">
        <w:rPr>
          <w:rFonts w:ascii="Arial" w:hAnsi="Arial" w:cs="Arial"/>
          <w:sz w:val="22"/>
          <w:szCs w:val="22"/>
        </w:rPr>
        <w:t xml:space="preserve"> de 201</w:t>
      </w:r>
      <w:r w:rsidR="00646BCE">
        <w:rPr>
          <w:rFonts w:ascii="Arial" w:hAnsi="Arial" w:cs="Arial"/>
          <w:sz w:val="22"/>
          <w:szCs w:val="22"/>
        </w:rPr>
        <w:t>9</w:t>
      </w:r>
      <w:r w:rsidRPr="00D53302">
        <w:rPr>
          <w:rFonts w:ascii="Arial" w:hAnsi="Arial" w:cs="Arial"/>
          <w:sz w:val="22"/>
          <w:szCs w:val="22"/>
        </w:rPr>
        <w:t xml:space="preserve"> se encuentran soportados con la expedición de </w:t>
      </w:r>
      <w:r w:rsidR="00711ADC">
        <w:rPr>
          <w:rFonts w:ascii="Arial" w:hAnsi="Arial" w:cs="Arial"/>
          <w:sz w:val="22"/>
          <w:szCs w:val="22"/>
        </w:rPr>
        <w:t>954</w:t>
      </w:r>
      <w:r w:rsidR="00D774CB" w:rsidRPr="00D53302">
        <w:rPr>
          <w:rFonts w:ascii="Arial" w:hAnsi="Arial" w:cs="Arial"/>
          <w:sz w:val="22"/>
          <w:szCs w:val="22"/>
        </w:rPr>
        <w:t xml:space="preserve"> </w:t>
      </w:r>
      <w:r w:rsidRPr="00D53302">
        <w:rPr>
          <w:rFonts w:ascii="Arial" w:hAnsi="Arial" w:cs="Arial"/>
          <w:sz w:val="22"/>
          <w:szCs w:val="22"/>
        </w:rPr>
        <w:t xml:space="preserve">certificados de disponibilidad y de </w:t>
      </w:r>
      <w:r w:rsidR="00711ADC">
        <w:rPr>
          <w:rFonts w:ascii="Arial" w:hAnsi="Arial" w:cs="Arial"/>
          <w:sz w:val="22"/>
          <w:szCs w:val="22"/>
        </w:rPr>
        <w:t xml:space="preserve">817 </w:t>
      </w:r>
      <w:r w:rsidRPr="00D53302">
        <w:rPr>
          <w:rFonts w:ascii="Arial" w:hAnsi="Arial" w:cs="Arial"/>
          <w:sz w:val="22"/>
          <w:szCs w:val="22"/>
        </w:rPr>
        <w:t>registros presupuestales.</w:t>
      </w:r>
    </w:p>
    <w:p w:rsidR="00F73685" w:rsidRPr="00D53302" w:rsidRDefault="00F73685" w:rsidP="00F73685">
      <w:pPr>
        <w:spacing w:line="276" w:lineRule="auto"/>
        <w:ind w:left="360"/>
        <w:jc w:val="both"/>
        <w:rPr>
          <w:rFonts w:ascii="Arial" w:hAnsi="Arial" w:cs="Arial"/>
          <w:sz w:val="22"/>
          <w:szCs w:val="22"/>
        </w:rPr>
      </w:pPr>
    </w:p>
    <w:p w:rsidR="00124786" w:rsidRPr="00124786" w:rsidRDefault="00124786" w:rsidP="00F73685">
      <w:pPr>
        <w:pStyle w:val="Prrafodelista"/>
        <w:numPr>
          <w:ilvl w:val="2"/>
          <w:numId w:val="33"/>
        </w:numPr>
        <w:rPr>
          <w:rFonts w:ascii="Arial" w:hAnsi="Arial" w:cs="Arial"/>
          <w:b/>
          <w:sz w:val="22"/>
          <w:szCs w:val="22"/>
          <w:lang w:val="es-MX"/>
        </w:rPr>
      </w:pPr>
      <w:r w:rsidRPr="00124786">
        <w:rPr>
          <w:rFonts w:ascii="Arial" w:hAnsi="Arial" w:cs="Arial"/>
          <w:b/>
          <w:sz w:val="22"/>
          <w:szCs w:val="22"/>
          <w:lang w:val="es-MX"/>
        </w:rPr>
        <w:t xml:space="preserve">En el aplicativo de la tesorería (OPGET)- PAGOS se realizó la      </w:t>
      </w:r>
    </w:p>
    <w:p w:rsidR="00124786" w:rsidRPr="00124786" w:rsidRDefault="00124786" w:rsidP="00124786">
      <w:pPr>
        <w:pStyle w:val="Prrafodelista"/>
        <w:ind w:left="1800"/>
        <w:rPr>
          <w:rFonts w:ascii="Arial" w:hAnsi="Arial" w:cs="Arial"/>
          <w:b/>
          <w:sz w:val="22"/>
          <w:szCs w:val="22"/>
          <w:lang w:val="es-MX"/>
        </w:rPr>
      </w:pPr>
      <w:r w:rsidRPr="00124786">
        <w:rPr>
          <w:rFonts w:ascii="Arial" w:hAnsi="Arial" w:cs="Arial"/>
          <w:b/>
          <w:sz w:val="22"/>
          <w:szCs w:val="22"/>
          <w:lang w:val="es-MX"/>
        </w:rPr>
        <w:t>incorporación del proceso de CENTRAL DE CUENTAS consta de varias funcionalidades:</w:t>
      </w:r>
    </w:p>
    <w:p w:rsidR="00124786" w:rsidRPr="00124786" w:rsidRDefault="00124786" w:rsidP="00124786">
      <w:pPr>
        <w:rPr>
          <w:rFonts w:ascii="Arial" w:hAnsi="Arial" w:cs="Arial"/>
          <w:b/>
          <w:sz w:val="22"/>
          <w:szCs w:val="22"/>
          <w:lang w:val="es-MX"/>
        </w:rPr>
      </w:pPr>
    </w:p>
    <w:p w:rsidR="00124786" w:rsidRPr="00124786" w:rsidRDefault="00124786" w:rsidP="00F73685">
      <w:pPr>
        <w:pStyle w:val="Prrafodelista"/>
        <w:numPr>
          <w:ilvl w:val="0"/>
          <w:numId w:val="31"/>
        </w:numPr>
        <w:spacing w:after="0" w:line="240" w:lineRule="auto"/>
        <w:contextualSpacing w:val="0"/>
        <w:jc w:val="both"/>
        <w:rPr>
          <w:rFonts w:ascii="Arial" w:hAnsi="Arial" w:cs="Arial"/>
          <w:sz w:val="22"/>
          <w:szCs w:val="22"/>
          <w:lang w:val="es-MX"/>
        </w:rPr>
      </w:pPr>
      <w:r w:rsidRPr="00124786">
        <w:rPr>
          <w:rFonts w:ascii="Arial" w:hAnsi="Arial" w:cs="Arial"/>
          <w:sz w:val="22"/>
          <w:szCs w:val="22"/>
          <w:lang w:val="es-MX"/>
        </w:rPr>
        <w:t xml:space="preserve">Funcionalidad que permite realizar la radicación de las facturas de contrato, factura de servicios públicos, cuentas de cobro, viáticos, liquidación cesantías FONCEP y caja menor, verificando el saldo del Registro presupuestal para un tercero y dejando registrado el valor del pago y el saldo del registro presupuestal en el momento de la radicación, también permite generar el formato: Anexo 2 PROCEDIMIENTO DE PAGO Y RECEPCION DE CUENTAS vigente; </w:t>
      </w:r>
    </w:p>
    <w:p w:rsidR="00124786" w:rsidRPr="00124786" w:rsidRDefault="00124786" w:rsidP="00F73685">
      <w:pPr>
        <w:jc w:val="both"/>
        <w:rPr>
          <w:rFonts w:ascii="Arial" w:hAnsi="Arial" w:cs="Arial"/>
          <w:sz w:val="22"/>
          <w:szCs w:val="22"/>
          <w:lang w:val="es-MX"/>
        </w:rPr>
      </w:pPr>
    </w:p>
    <w:p w:rsidR="00124786" w:rsidRPr="00124786" w:rsidRDefault="00124786" w:rsidP="00F73685">
      <w:pPr>
        <w:pStyle w:val="Prrafodelista"/>
        <w:numPr>
          <w:ilvl w:val="0"/>
          <w:numId w:val="31"/>
        </w:numPr>
        <w:spacing w:after="0" w:line="240" w:lineRule="auto"/>
        <w:contextualSpacing w:val="0"/>
        <w:jc w:val="both"/>
        <w:rPr>
          <w:rFonts w:ascii="Arial" w:hAnsi="Arial" w:cs="Arial"/>
          <w:sz w:val="22"/>
          <w:szCs w:val="22"/>
          <w:lang w:val="es-MX"/>
        </w:rPr>
      </w:pPr>
      <w:r w:rsidRPr="00124786">
        <w:rPr>
          <w:rFonts w:ascii="Arial" w:hAnsi="Arial" w:cs="Arial"/>
          <w:sz w:val="22"/>
          <w:szCs w:val="22"/>
          <w:lang w:val="es-MX"/>
        </w:rPr>
        <w:lastRenderedPageBreak/>
        <w:t>Cargue de cuentas en contabilidad, esta funcionalidad permite descargar las cuentas de la central de cuentas y pasarlas a contabilidad para la liquidación y generación de la OP.</w:t>
      </w:r>
    </w:p>
    <w:p w:rsidR="00124786" w:rsidRPr="00124786" w:rsidRDefault="00124786" w:rsidP="00F73685">
      <w:pPr>
        <w:jc w:val="both"/>
        <w:rPr>
          <w:rFonts w:ascii="Arial" w:hAnsi="Arial" w:cs="Arial"/>
          <w:sz w:val="22"/>
          <w:szCs w:val="22"/>
          <w:lang w:val="es-MX"/>
        </w:rPr>
      </w:pPr>
    </w:p>
    <w:p w:rsidR="00124786" w:rsidRPr="00124786" w:rsidRDefault="00124786" w:rsidP="00F73685">
      <w:pPr>
        <w:pStyle w:val="Prrafodelista"/>
        <w:numPr>
          <w:ilvl w:val="0"/>
          <w:numId w:val="31"/>
        </w:numPr>
        <w:spacing w:after="0" w:line="240" w:lineRule="auto"/>
        <w:contextualSpacing w:val="0"/>
        <w:jc w:val="both"/>
        <w:rPr>
          <w:rFonts w:ascii="Arial" w:hAnsi="Arial" w:cs="Arial"/>
          <w:sz w:val="22"/>
          <w:szCs w:val="22"/>
          <w:lang w:val="es-MX"/>
        </w:rPr>
      </w:pPr>
      <w:r w:rsidRPr="00124786">
        <w:rPr>
          <w:rFonts w:ascii="Arial" w:hAnsi="Arial" w:cs="Arial"/>
          <w:sz w:val="22"/>
          <w:szCs w:val="22"/>
          <w:lang w:val="es-MX"/>
        </w:rPr>
        <w:t>Generación de reportes de seguimiento a los pagos desde la radicación hasta el giro incluyendo los usuarios y la fecha en que realizaron cada paso en el proceso y otros reportes que permiten generar todos los pagos realizados a un tercero sin discriminar el registro presupuestal.</w:t>
      </w:r>
    </w:p>
    <w:p w:rsidR="00124786" w:rsidRPr="00124786" w:rsidRDefault="00124786" w:rsidP="00F73685">
      <w:pPr>
        <w:jc w:val="both"/>
        <w:rPr>
          <w:rFonts w:ascii="Arial" w:hAnsi="Arial" w:cs="Arial"/>
          <w:b/>
          <w:sz w:val="22"/>
          <w:szCs w:val="22"/>
          <w:lang w:val="es-MX"/>
        </w:rPr>
      </w:pPr>
    </w:p>
    <w:p w:rsidR="00124786" w:rsidRPr="00124786" w:rsidRDefault="00124786" w:rsidP="00F73685">
      <w:pPr>
        <w:jc w:val="both"/>
        <w:rPr>
          <w:rFonts w:ascii="Arial" w:hAnsi="Arial" w:cs="Arial"/>
          <w:sz w:val="22"/>
          <w:szCs w:val="22"/>
          <w:lang w:val="es-MX"/>
        </w:rPr>
      </w:pPr>
      <w:r w:rsidRPr="00124786">
        <w:rPr>
          <w:rFonts w:ascii="Arial" w:hAnsi="Arial" w:cs="Arial"/>
          <w:sz w:val="22"/>
          <w:szCs w:val="22"/>
          <w:lang w:val="es-MX"/>
        </w:rPr>
        <w:t xml:space="preserve">Se está desarrollando la funcionalidad de parametrización de contrato que consiste en el registro de los datos básicos de cada contrato con la parametrización inicial de descuentos que se le aplicaran durante la ejecución del contrato, esta funcionalidad nos permitirá realizar la liquidación de los contratos y generar el formato automáticamente. </w:t>
      </w:r>
    </w:p>
    <w:p w:rsidR="00F73685" w:rsidRPr="00D53302" w:rsidRDefault="00F73685" w:rsidP="00F73685">
      <w:pPr>
        <w:spacing w:line="276" w:lineRule="auto"/>
        <w:ind w:left="360"/>
        <w:jc w:val="both"/>
        <w:rPr>
          <w:rFonts w:ascii="Arial" w:hAnsi="Arial" w:cs="Arial"/>
          <w:sz w:val="22"/>
          <w:szCs w:val="22"/>
        </w:rPr>
      </w:pPr>
    </w:p>
    <w:p w:rsidR="00F73685" w:rsidRPr="00124786" w:rsidRDefault="00F73685" w:rsidP="00F73685">
      <w:pPr>
        <w:pStyle w:val="Prrafodelista"/>
        <w:numPr>
          <w:ilvl w:val="2"/>
          <w:numId w:val="33"/>
        </w:numPr>
        <w:rPr>
          <w:rFonts w:ascii="Arial" w:hAnsi="Arial" w:cs="Arial"/>
          <w:b/>
          <w:sz w:val="22"/>
          <w:szCs w:val="22"/>
          <w:lang w:val="es-MX"/>
        </w:rPr>
      </w:pPr>
      <w:r w:rsidRPr="00F73685">
        <w:rPr>
          <w:rFonts w:ascii="Arial" w:hAnsi="Arial" w:cs="Arial"/>
          <w:b/>
          <w:sz w:val="22"/>
          <w:szCs w:val="22"/>
          <w:lang w:val="es-MX"/>
        </w:rPr>
        <w:t>Convenio de recaudo código de barras</w:t>
      </w:r>
      <w:r w:rsidRPr="00124786">
        <w:rPr>
          <w:rFonts w:ascii="Arial" w:hAnsi="Arial" w:cs="Arial"/>
          <w:b/>
          <w:sz w:val="22"/>
          <w:szCs w:val="22"/>
          <w:lang w:val="es-MX"/>
        </w:rPr>
        <w:t>:</w:t>
      </w:r>
    </w:p>
    <w:p w:rsidR="00560303" w:rsidRDefault="00560303">
      <w:pPr>
        <w:spacing w:after="160" w:line="259" w:lineRule="auto"/>
        <w:rPr>
          <w:rFonts w:ascii="Arial" w:hAnsi="Arial" w:cs="Arial"/>
          <w:b/>
          <w:sz w:val="22"/>
          <w:szCs w:val="22"/>
        </w:rPr>
      </w:pPr>
    </w:p>
    <w:p w:rsidR="00F73685" w:rsidRPr="00F73685" w:rsidRDefault="00F73685" w:rsidP="00F73685">
      <w:pPr>
        <w:jc w:val="both"/>
        <w:rPr>
          <w:rFonts w:ascii="Arial" w:hAnsi="Arial" w:cs="Arial"/>
          <w:sz w:val="22"/>
          <w:szCs w:val="22"/>
          <w:lang w:val="es-MX"/>
        </w:rPr>
      </w:pPr>
      <w:r w:rsidRPr="00F73685">
        <w:rPr>
          <w:rFonts w:ascii="Arial" w:hAnsi="Arial" w:cs="Arial"/>
          <w:sz w:val="22"/>
          <w:szCs w:val="22"/>
          <w:lang w:val="es-MX"/>
        </w:rPr>
        <w:t xml:space="preserve">Teniendo en cuenta la necesidad de mejorar la calidad y veracidad de la información del recaudo por los diferentes conceptos y en el marco de los procesos y procedimientos vigentes en la entidad, se hace imprescindible implementar el recaudo mediante el sistema de código de </w:t>
      </w:r>
      <w:r w:rsidRPr="00F73685">
        <w:rPr>
          <w:rFonts w:ascii="Arial" w:hAnsi="Arial" w:cs="Arial"/>
          <w:sz w:val="22"/>
          <w:szCs w:val="22"/>
          <w:lang w:val="es-MX"/>
        </w:rPr>
        <w:t>barras, con</w:t>
      </w:r>
      <w:r w:rsidRPr="00F73685">
        <w:rPr>
          <w:rFonts w:ascii="Arial" w:hAnsi="Arial" w:cs="Arial"/>
          <w:sz w:val="22"/>
          <w:szCs w:val="22"/>
          <w:lang w:val="es-MX"/>
        </w:rPr>
        <w:t xml:space="preserve"> el cual se obtendrían los siguientes beneficios:</w:t>
      </w:r>
    </w:p>
    <w:p w:rsidR="00F73685" w:rsidRPr="00F73685" w:rsidRDefault="00F73685" w:rsidP="00F73685">
      <w:pPr>
        <w:jc w:val="both"/>
        <w:rPr>
          <w:rFonts w:ascii="Arial" w:hAnsi="Arial" w:cs="Arial"/>
          <w:sz w:val="22"/>
          <w:szCs w:val="22"/>
          <w:lang w:val="es-MX"/>
        </w:rPr>
      </w:pPr>
    </w:p>
    <w:p w:rsidR="00F73685" w:rsidRPr="00F73685" w:rsidRDefault="00F73685" w:rsidP="00F73685">
      <w:pPr>
        <w:jc w:val="both"/>
        <w:rPr>
          <w:rFonts w:ascii="Arial" w:hAnsi="Arial" w:cs="Arial"/>
          <w:sz w:val="22"/>
          <w:szCs w:val="22"/>
          <w:lang w:val="es-MX"/>
        </w:rPr>
      </w:pPr>
      <w:r w:rsidRPr="00F73685">
        <w:rPr>
          <w:rFonts w:ascii="Arial" w:hAnsi="Arial" w:cs="Arial"/>
          <w:sz w:val="22"/>
          <w:szCs w:val="22"/>
          <w:lang w:val="es-MX"/>
        </w:rPr>
        <w:t>Optimización en la conciliación de los recaudos y fácil identificación de los mismos.</w:t>
      </w:r>
    </w:p>
    <w:p w:rsidR="00F73685" w:rsidRPr="00F73685" w:rsidRDefault="00F73685" w:rsidP="00F73685">
      <w:pPr>
        <w:jc w:val="both"/>
        <w:rPr>
          <w:rFonts w:ascii="Arial" w:hAnsi="Arial" w:cs="Arial"/>
          <w:sz w:val="22"/>
          <w:szCs w:val="22"/>
          <w:lang w:val="es-MX"/>
        </w:rPr>
      </w:pPr>
      <w:r w:rsidRPr="00F73685">
        <w:rPr>
          <w:rFonts w:ascii="Arial" w:hAnsi="Arial" w:cs="Arial"/>
          <w:sz w:val="22"/>
          <w:szCs w:val="22"/>
          <w:lang w:val="es-MX"/>
        </w:rPr>
        <w:t>Acceso a la información en línea a través del Portal Empresarial del Banco Davivienda.</w:t>
      </w:r>
    </w:p>
    <w:p w:rsidR="00F73685" w:rsidRPr="00F73685" w:rsidRDefault="00F73685" w:rsidP="00F73685">
      <w:pPr>
        <w:jc w:val="both"/>
        <w:rPr>
          <w:rFonts w:ascii="Arial" w:hAnsi="Arial" w:cs="Arial"/>
          <w:sz w:val="22"/>
          <w:szCs w:val="22"/>
          <w:lang w:val="es-MX"/>
        </w:rPr>
      </w:pPr>
      <w:r w:rsidRPr="00F73685">
        <w:rPr>
          <w:rFonts w:ascii="Arial" w:hAnsi="Arial" w:cs="Arial"/>
          <w:sz w:val="22"/>
          <w:szCs w:val="22"/>
          <w:lang w:val="es-MX"/>
        </w:rPr>
        <w:t xml:space="preserve">Información en tiempo real </w:t>
      </w:r>
      <w:r w:rsidRPr="00F73685">
        <w:rPr>
          <w:rFonts w:ascii="Arial" w:hAnsi="Arial" w:cs="Arial"/>
          <w:sz w:val="22"/>
          <w:szCs w:val="22"/>
          <w:lang w:val="es-MX"/>
        </w:rPr>
        <w:t>mediante conexión</w:t>
      </w:r>
      <w:r w:rsidRPr="00F73685">
        <w:rPr>
          <w:rFonts w:ascii="Arial" w:hAnsi="Arial" w:cs="Arial"/>
          <w:sz w:val="22"/>
          <w:szCs w:val="22"/>
          <w:lang w:val="es-MX"/>
        </w:rPr>
        <w:t xml:space="preserve"> web </w:t>
      </w:r>
      <w:proofErr w:type="spellStart"/>
      <w:r w:rsidRPr="00F73685">
        <w:rPr>
          <w:rFonts w:ascii="Arial" w:hAnsi="Arial" w:cs="Arial"/>
          <w:sz w:val="22"/>
          <w:szCs w:val="22"/>
          <w:lang w:val="es-MX"/>
        </w:rPr>
        <w:t>service</w:t>
      </w:r>
      <w:proofErr w:type="spellEnd"/>
      <w:r w:rsidRPr="00F73685">
        <w:rPr>
          <w:rFonts w:ascii="Arial" w:hAnsi="Arial" w:cs="Arial"/>
          <w:sz w:val="22"/>
          <w:szCs w:val="22"/>
          <w:lang w:val="es-MX"/>
        </w:rPr>
        <w:t xml:space="preserve"> suministrada por</w:t>
      </w:r>
      <w:r>
        <w:rPr>
          <w:rFonts w:ascii="Arial" w:hAnsi="Arial" w:cs="Arial"/>
          <w:sz w:val="22"/>
          <w:szCs w:val="22"/>
          <w:lang w:val="es-MX"/>
        </w:rPr>
        <w:t xml:space="preserve"> Davivienda</w:t>
      </w:r>
      <w:r w:rsidRPr="00F73685">
        <w:rPr>
          <w:rFonts w:ascii="Arial" w:hAnsi="Arial" w:cs="Arial"/>
          <w:sz w:val="22"/>
          <w:szCs w:val="22"/>
          <w:lang w:val="es-MX"/>
        </w:rPr>
        <w:t xml:space="preserve"> sin costo p</w:t>
      </w:r>
      <w:r>
        <w:rPr>
          <w:rFonts w:ascii="Arial" w:hAnsi="Arial" w:cs="Arial"/>
          <w:sz w:val="22"/>
          <w:szCs w:val="22"/>
          <w:lang w:val="es-MX"/>
        </w:rPr>
        <w:t>ara la CONTRALORIA DE BOGOTÀ</w:t>
      </w:r>
      <w:r w:rsidRPr="00F73685">
        <w:rPr>
          <w:rFonts w:ascii="Arial" w:hAnsi="Arial" w:cs="Arial"/>
          <w:sz w:val="22"/>
          <w:szCs w:val="22"/>
          <w:lang w:val="es-MX"/>
        </w:rPr>
        <w:t>.</w:t>
      </w:r>
    </w:p>
    <w:p w:rsidR="00F73685" w:rsidRPr="00F73685" w:rsidRDefault="00F73685" w:rsidP="00F73685">
      <w:pPr>
        <w:jc w:val="both"/>
        <w:rPr>
          <w:rFonts w:ascii="Arial" w:hAnsi="Arial" w:cs="Arial"/>
          <w:sz w:val="22"/>
          <w:szCs w:val="22"/>
          <w:lang w:val="es-MX"/>
        </w:rPr>
      </w:pPr>
    </w:p>
    <w:p w:rsidR="00F73685" w:rsidRDefault="00F73685" w:rsidP="00F73685">
      <w:pPr>
        <w:jc w:val="both"/>
        <w:rPr>
          <w:rFonts w:ascii="Arial" w:hAnsi="Arial" w:cs="Arial"/>
          <w:sz w:val="22"/>
          <w:szCs w:val="22"/>
          <w:lang w:val="es-MX"/>
        </w:rPr>
      </w:pPr>
      <w:r w:rsidRPr="00F73685">
        <w:rPr>
          <w:rFonts w:ascii="Arial" w:hAnsi="Arial" w:cs="Arial"/>
          <w:sz w:val="22"/>
          <w:szCs w:val="22"/>
          <w:lang w:val="es-MX"/>
        </w:rPr>
        <w:t>En virtud de lo expuesto, desde la Subdirección Financiera se realizó un proceso de construcción conjuntamente con las áreas usuarias de la información con el propósito de analizar y avalar las modificaciones propuestas para los procedimientos mediante reuniones.</w:t>
      </w:r>
    </w:p>
    <w:p w:rsidR="00F73685" w:rsidRPr="00F73685" w:rsidRDefault="00F73685" w:rsidP="00F73685">
      <w:pPr>
        <w:jc w:val="both"/>
        <w:rPr>
          <w:rFonts w:ascii="Arial" w:hAnsi="Arial" w:cs="Arial"/>
          <w:sz w:val="22"/>
          <w:szCs w:val="22"/>
          <w:lang w:val="es-MX"/>
        </w:rPr>
      </w:pPr>
      <w:r>
        <w:rPr>
          <w:rFonts w:ascii="Arial" w:hAnsi="Arial" w:cs="Arial"/>
          <w:sz w:val="22"/>
          <w:szCs w:val="22"/>
          <w:lang w:val="es-MX"/>
        </w:rPr>
        <w:t>Dicho convenio esta en proceso y alistamiento de los sistemas de información interno para que se pueda desarrollar e implentar.</w:t>
      </w:r>
      <w:bookmarkStart w:id="0" w:name="_GoBack"/>
      <w:bookmarkEnd w:id="0"/>
    </w:p>
    <w:p w:rsidR="002D1F08" w:rsidRDefault="002D1F08" w:rsidP="00F815FF">
      <w:pPr>
        <w:spacing w:line="276" w:lineRule="auto"/>
        <w:contextualSpacing/>
        <w:jc w:val="both"/>
        <w:rPr>
          <w:rFonts w:ascii="Arial" w:hAnsi="Arial" w:cs="Arial"/>
          <w:b/>
          <w:sz w:val="22"/>
          <w:szCs w:val="22"/>
        </w:rPr>
      </w:pPr>
    </w:p>
    <w:p w:rsidR="002D1F08" w:rsidRDefault="002D1F08" w:rsidP="00F815FF">
      <w:pPr>
        <w:spacing w:line="276" w:lineRule="auto"/>
        <w:contextualSpacing/>
        <w:jc w:val="both"/>
        <w:rPr>
          <w:rFonts w:ascii="Arial" w:hAnsi="Arial" w:cs="Arial"/>
          <w:b/>
          <w:sz w:val="22"/>
          <w:szCs w:val="22"/>
        </w:rPr>
      </w:pPr>
    </w:p>
    <w:p w:rsidR="00F815FF" w:rsidRPr="007C4B31" w:rsidRDefault="00F815FF" w:rsidP="00F815FF">
      <w:pPr>
        <w:spacing w:line="276" w:lineRule="auto"/>
        <w:contextualSpacing/>
        <w:jc w:val="both"/>
        <w:rPr>
          <w:rFonts w:ascii="Arial" w:hAnsi="Arial" w:cs="Arial"/>
          <w:b/>
          <w:sz w:val="22"/>
          <w:szCs w:val="22"/>
        </w:rPr>
      </w:pPr>
      <w:r w:rsidRPr="007C4B31">
        <w:rPr>
          <w:rFonts w:ascii="Arial" w:hAnsi="Arial" w:cs="Arial"/>
          <w:b/>
          <w:sz w:val="22"/>
          <w:szCs w:val="22"/>
        </w:rPr>
        <w:t>CARLOS EDUARDO MALDONADO GRANADOS</w:t>
      </w:r>
    </w:p>
    <w:p w:rsidR="00033C89" w:rsidRPr="007C4B31" w:rsidRDefault="007C4B31" w:rsidP="007C4B31">
      <w:pPr>
        <w:tabs>
          <w:tab w:val="left" w:pos="720"/>
        </w:tabs>
        <w:contextualSpacing/>
        <w:rPr>
          <w:rFonts w:ascii="Arial" w:hAnsi="Arial" w:cs="Arial"/>
          <w:b/>
          <w:sz w:val="22"/>
          <w:szCs w:val="22"/>
        </w:rPr>
      </w:pPr>
      <w:r w:rsidRPr="007C4B31">
        <w:rPr>
          <w:rFonts w:ascii="Arial" w:hAnsi="Arial" w:cs="Arial"/>
          <w:b/>
          <w:sz w:val="22"/>
          <w:szCs w:val="22"/>
        </w:rPr>
        <w:t>R</w:t>
      </w:r>
      <w:r w:rsidR="005B4D69" w:rsidRPr="007C4B31">
        <w:rPr>
          <w:rFonts w:ascii="Arial" w:hAnsi="Arial" w:cs="Arial"/>
          <w:b/>
          <w:sz w:val="22"/>
          <w:szCs w:val="22"/>
        </w:rPr>
        <w:t>esponsable de Proceso</w:t>
      </w:r>
    </w:p>
    <w:p w:rsidR="007C4B31" w:rsidRPr="007C4B31" w:rsidRDefault="007C4B31" w:rsidP="007C4B31">
      <w:pPr>
        <w:tabs>
          <w:tab w:val="left" w:pos="720"/>
        </w:tabs>
        <w:rPr>
          <w:rFonts w:ascii="Arial" w:hAnsi="Arial" w:cs="Arial"/>
          <w:b/>
          <w:sz w:val="22"/>
          <w:szCs w:val="22"/>
        </w:rPr>
      </w:pPr>
    </w:p>
    <w:p w:rsidR="007C4B31" w:rsidRPr="007C4B31" w:rsidRDefault="007C4B31" w:rsidP="007C4B31">
      <w:pPr>
        <w:tabs>
          <w:tab w:val="left" w:pos="720"/>
        </w:tabs>
        <w:rPr>
          <w:rFonts w:ascii="Arial" w:hAnsi="Arial" w:cs="Arial"/>
          <w:b/>
          <w:sz w:val="22"/>
          <w:szCs w:val="22"/>
        </w:rPr>
      </w:pPr>
    </w:p>
    <w:p w:rsidR="004F7CCD" w:rsidRDefault="005B4D69" w:rsidP="00142B8A">
      <w:pPr>
        <w:rPr>
          <w:rFonts w:ascii="Arial" w:hAnsi="Arial" w:cs="Arial"/>
          <w:sz w:val="16"/>
          <w:szCs w:val="16"/>
        </w:rPr>
      </w:pPr>
      <w:r w:rsidRPr="00181F2C">
        <w:rPr>
          <w:rFonts w:ascii="Arial" w:hAnsi="Arial" w:cs="Arial"/>
          <w:sz w:val="16"/>
          <w:szCs w:val="16"/>
        </w:rPr>
        <w:t xml:space="preserve">Elaboró y proyectó: </w:t>
      </w:r>
      <w:r w:rsidR="00896C10">
        <w:rPr>
          <w:rFonts w:ascii="Arial" w:hAnsi="Arial" w:cs="Arial"/>
          <w:sz w:val="16"/>
          <w:szCs w:val="16"/>
        </w:rPr>
        <w:t>Carlos Eduardo Maldonado Granados</w:t>
      </w:r>
      <w:r w:rsidRPr="00181F2C">
        <w:rPr>
          <w:rFonts w:ascii="Arial" w:hAnsi="Arial" w:cs="Arial"/>
          <w:sz w:val="16"/>
          <w:szCs w:val="16"/>
        </w:rPr>
        <w:t xml:space="preserve">– </w:t>
      </w:r>
      <w:r w:rsidR="00033C89">
        <w:rPr>
          <w:rFonts w:ascii="Arial" w:hAnsi="Arial" w:cs="Arial"/>
          <w:sz w:val="16"/>
          <w:szCs w:val="16"/>
        </w:rPr>
        <w:t>Subdirector Financiero</w:t>
      </w:r>
      <w:r w:rsidRPr="00181F2C">
        <w:rPr>
          <w:rFonts w:ascii="Arial" w:hAnsi="Arial" w:cs="Arial"/>
          <w:sz w:val="16"/>
          <w:szCs w:val="16"/>
        </w:rPr>
        <w:t>.</w:t>
      </w:r>
    </w:p>
    <w:p w:rsidR="000770B3" w:rsidRPr="004F7CCD" w:rsidRDefault="000770B3" w:rsidP="000822EB">
      <w:pPr>
        <w:tabs>
          <w:tab w:val="left" w:pos="720"/>
        </w:tabs>
        <w:rPr>
          <w:rFonts w:ascii="Arial" w:hAnsi="Arial" w:cs="Arial"/>
          <w:color w:val="333333"/>
          <w:sz w:val="22"/>
          <w:szCs w:val="22"/>
          <w:shd w:val="clear" w:color="auto" w:fill="FFFFFF"/>
        </w:rPr>
      </w:pPr>
      <w:r w:rsidRPr="00181F2C">
        <w:rPr>
          <w:rFonts w:ascii="Arial" w:hAnsi="Arial" w:cs="Arial"/>
          <w:sz w:val="16"/>
          <w:szCs w:val="16"/>
        </w:rPr>
        <w:t xml:space="preserve">Fecha de elaboración: </w:t>
      </w:r>
      <w:r w:rsidR="00043572">
        <w:rPr>
          <w:rFonts w:ascii="Arial" w:hAnsi="Arial" w:cs="Arial"/>
          <w:sz w:val="16"/>
          <w:szCs w:val="16"/>
        </w:rPr>
        <w:t>enero 04</w:t>
      </w:r>
      <w:r w:rsidR="00B87B17">
        <w:rPr>
          <w:rFonts w:ascii="Arial" w:hAnsi="Arial" w:cs="Arial"/>
          <w:sz w:val="16"/>
          <w:szCs w:val="16"/>
        </w:rPr>
        <w:t xml:space="preserve"> del </w:t>
      </w:r>
      <w:r w:rsidR="002637A3">
        <w:rPr>
          <w:rFonts w:ascii="Arial" w:hAnsi="Arial" w:cs="Arial"/>
          <w:sz w:val="16"/>
          <w:szCs w:val="16"/>
        </w:rPr>
        <w:t>20</w:t>
      </w:r>
      <w:r w:rsidR="00921DC8">
        <w:rPr>
          <w:rFonts w:ascii="Arial" w:hAnsi="Arial" w:cs="Arial"/>
          <w:sz w:val="16"/>
          <w:szCs w:val="16"/>
        </w:rPr>
        <w:t>20</w:t>
      </w:r>
    </w:p>
    <w:sectPr w:rsidR="000770B3" w:rsidRPr="004F7CCD" w:rsidSect="00D9431D">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D03" w:rsidRDefault="00B75D03" w:rsidP="00E521E7">
      <w:pPr>
        <w:spacing w:after="0" w:line="240" w:lineRule="auto"/>
      </w:pPr>
      <w:r>
        <w:separator/>
      </w:r>
    </w:p>
  </w:endnote>
  <w:endnote w:type="continuationSeparator" w:id="0">
    <w:p w:rsidR="00B75D03" w:rsidRDefault="00B75D03" w:rsidP="00E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430688"/>
      <w:docPartObj>
        <w:docPartGallery w:val="Page Numbers (Bottom of Page)"/>
        <w:docPartUnique/>
      </w:docPartObj>
    </w:sdtPr>
    <w:sdtEndPr/>
    <w:sdtContent>
      <w:p w:rsidR="00B0742A" w:rsidRDefault="00B0742A">
        <w:pPr>
          <w:pStyle w:val="Piedepgina"/>
          <w:jc w:val="right"/>
        </w:pPr>
        <w:r>
          <w:fldChar w:fldCharType="begin"/>
        </w:r>
        <w:r>
          <w:instrText>PAGE   \* MERGEFORMAT</w:instrText>
        </w:r>
        <w:r>
          <w:fldChar w:fldCharType="separate"/>
        </w:r>
        <w:r w:rsidRPr="00043572">
          <w:rPr>
            <w:noProof/>
            <w:lang w:val="es-ES"/>
          </w:rPr>
          <w:t>10</w:t>
        </w:r>
        <w:r>
          <w:fldChar w:fldCharType="end"/>
        </w:r>
      </w:p>
    </w:sdtContent>
  </w:sdt>
  <w:p w:rsidR="00B0742A" w:rsidRDefault="00B074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D03" w:rsidRDefault="00B75D03" w:rsidP="00E521E7">
      <w:pPr>
        <w:spacing w:after="0" w:line="240" w:lineRule="auto"/>
      </w:pPr>
      <w:r>
        <w:separator/>
      </w:r>
    </w:p>
  </w:footnote>
  <w:footnote w:type="continuationSeparator" w:id="0">
    <w:p w:rsidR="00B75D03" w:rsidRDefault="00B75D03" w:rsidP="00E5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2A" w:rsidRDefault="00B0742A" w:rsidP="00E521E7">
    <w:pPr>
      <w:pStyle w:val="Encabezado"/>
      <w:ind w:firstLine="3540"/>
    </w:pPr>
    <w:r>
      <w:t xml:space="preserve"> </w:t>
    </w:r>
    <w:r>
      <w:rPr>
        <w:noProof/>
      </w:rPr>
      <w:drawing>
        <wp:inline distT="0" distB="0" distL="0" distR="0" wp14:anchorId="175A6CEB" wp14:editId="031124AE">
          <wp:extent cx="1104265" cy="712470"/>
          <wp:effectExtent l="0" t="0" r="635" b="0"/>
          <wp:docPr id="1" name="Imagen 1"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12470"/>
                  </a:xfrm>
                  <a:prstGeom prst="rect">
                    <a:avLst/>
                  </a:prstGeom>
                  <a:noFill/>
                  <a:ln>
                    <a:noFill/>
                  </a:ln>
                </pic:spPr>
              </pic:pic>
            </a:graphicData>
          </a:graphic>
        </wp:inline>
      </w:drawing>
    </w:r>
  </w:p>
  <w:p w:rsidR="00B0742A" w:rsidRDefault="00B0742A" w:rsidP="00E521E7">
    <w:pPr>
      <w:pStyle w:val="Encabezado"/>
      <w:ind w:left="708" w:firstLine="1800"/>
      <w:rPr>
        <w:i/>
      </w:rPr>
    </w:pPr>
  </w:p>
  <w:p w:rsidR="00B0742A" w:rsidRPr="00F85EEF" w:rsidRDefault="00B0742A" w:rsidP="00F85EEF">
    <w:pPr>
      <w:pStyle w:val="Encabezado"/>
      <w:spacing w:line="480" w:lineRule="auto"/>
      <w:rPr>
        <w:i/>
        <w:u w:val="single"/>
      </w:rPr>
    </w:pPr>
    <w:r>
      <w:rPr>
        <w:u w:val="single"/>
      </w:rPr>
      <w:t>____________________________</w:t>
    </w:r>
    <w:r>
      <w:rPr>
        <w:i/>
        <w:u w:val="single"/>
      </w:rPr>
      <w:t>”Una Contraloría aliada con Bogotá”_____________________________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A37"/>
    <w:multiLevelType w:val="multilevel"/>
    <w:tmpl w:val="E452B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69720F"/>
    <w:multiLevelType w:val="multilevel"/>
    <w:tmpl w:val="E326D4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03987"/>
    <w:multiLevelType w:val="multilevel"/>
    <w:tmpl w:val="DB86539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71842A3"/>
    <w:multiLevelType w:val="multilevel"/>
    <w:tmpl w:val="6CEE88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A357A"/>
    <w:multiLevelType w:val="multilevel"/>
    <w:tmpl w:val="D1A66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CA5B33"/>
    <w:multiLevelType w:val="hybridMultilevel"/>
    <w:tmpl w:val="5142ADC4"/>
    <w:lvl w:ilvl="0" w:tplc="E4FEA5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556BB9"/>
    <w:multiLevelType w:val="hybridMultilevel"/>
    <w:tmpl w:val="C9B84372"/>
    <w:lvl w:ilvl="0" w:tplc="383473CC">
      <w:start w:val="2"/>
      <w:numFmt w:val="bullet"/>
      <w:lvlText w:val=""/>
      <w:lvlJc w:val="left"/>
      <w:pPr>
        <w:ind w:left="720" w:hanging="360"/>
      </w:pPr>
      <w:rPr>
        <w:rFonts w:ascii="Symbol" w:eastAsia="Times New Roman"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1F4A5B"/>
    <w:multiLevelType w:val="multilevel"/>
    <w:tmpl w:val="97BA297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FE3913"/>
    <w:multiLevelType w:val="hybridMultilevel"/>
    <w:tmpl w:val="9B9C1B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2C7BB0"/>
    <w:multiLevelType w:val="hybridMultilevel"/>
    <w:tmpl w:val="BCDCDF4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57D5DBD"/>
    <w:multiLevelType w:val="hybridMultilevel"/>
    <w:tmpl w:val="3A7E462E"/>
    <w:lvl w:ilvl="0" w:tplc="80BE5F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A4F4921"/>
    <w:multiLevelType w:val="hybridMultilevel"/>
    <w:tmpl w:val="3F7CFDE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5720AE"/>
    <w:multiLevelType w:val="hybridMultilevel"/>
    <w:tmpl w:val="F79E1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031265"/>
    <w:multiLevelType w:val="hybridMultilevel"/>
    <w:tmpl w:val="9F561FB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5B2AEB"/>
    <w:multiLevelType w:val="hybridMultilevel"/>
    <w:tmpl w:val="38FEEE38"/>
    <w:lvl w:ilvl="0" w:tplc="DC22C7F4">
      <w:start w:val="1"/>
      <w:numFmt w:val="decimal"/>
      <w:lvlText w:val="%1."/>
      <w:lvlJc w:val="left"/>
      <w:pPr>
        <w:tabs>
          <w:tab w:val="num" w:pos="720"/>
        </w:tabs>
        <w:ind w:left="720" w:hanging="360"/>
      </w:pPr>
      <w:rPr>
        <w:rFonts w:hint="default"/>
        <w:b/>
        <w:i/>
      </w:rPr>
    </w:lvl>
    <w:lvl w:ilvl="1" w:tplc="0C0A0001">
      <w:start w:val="1"/>
      <w:numFmt w:val="bullet"/>
      <w:lvlText w:val=""/>
      <w:lvlJc w:val="left"/>
      <w:pPr>
        <w:tabs>
          <w:tab w:val="num" w:pos="1440"/>
        </w:tabs>
        <w:ind w:left="1440" w:hanging="360"/>
      </w:pPr>
      <w:rPr>
        <w:rFonts w:ascii="Symbol" w:hAnsi="Symbol" w:hint="default"/>
        <w:b/>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8158F6"/>
    <w:multiLevelType w:val="hybridMultilevel"/>
    <w:tmpl w:val="C80AB7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6E1866"/>
    <w:multiLevelType w:val="multilevel"/>
    <w:tmpl w:val="E452B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D7577BF"/>
    <w:multiLevelType w:val="hybridMultilevel"/>
    <w:tmpl w:val="4EBE37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9E409B"/>
    <w:multiLevelType w:val="multilevel"/>
    <w:tmpl w:val="840085D4"/>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5FC265E"/>
    <w:multiLevelType w:val="hybridMultilevel"/>
    <w:tmpl w:val="43A8E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41D32"/>
    <w:multiLevelType w:val="hybridMultilevel"/>
    <w:tmpl w:val="F5C644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B7244F"/>
    <w:multiLevelType w:val="multilevel"/>
    <w:tmpl w:val="821600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EA734E4"/>
    <w:multiLevelType w:val="hybridMultilevel"/>
    <w:tmpl w:val="763A1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6353C7"/>
    <w:multiLevelType w:val="multilevel"/>
    <w:tmpl w:val="B50AD412"/>
    <w:lvl w:ilvl="0">
      <w:start w:val="1"/>
      <w:numFmt w:val="decimal"/>
      <w:pStyle w:val="titulo1"/>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AF07279"/>
    <w:multiLevelType w:val="hybridMultilevel"/>
    <w:tmpl w:val="D554A5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CF31D83"/>
    <w:multiLevelType w:val="hybridMultilevel"/>
    <w:tmpl w:val="DDFC9A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FC12DAF"/>
    <w:multiLevelType w:val="multilevel"/>
    <w:tmpl w:val="DB86539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11520DA"/>
    <w:multiLevelType w:val="multilevel"/>
    <w:tmpl w:val="D1A667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29E1010"/>
    <w:multiLevelType w:val="hybridMultilevel"/>
    <w:tmpl w:val="C2388C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D692054"/>
    <w:multiLevelType w:val="hybridMultilevel"/>
    <w:tmpl w:val="C53C4B2C"/>
    <w:lvl w:ilvl="0" w:tplc="B09E50D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043F98"/>
    <w:multiLevelType w:val="multilevel"/>
    <w:tmpl w:val="E452BA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4D32297"/>
    <w:multiLevelType w:val="hybridMultilevel"/>
    <w:tmpl w:val="989E56D6"/>
    <w:lvl w:ilvl="0" w:tplc="0C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76DC3317"/>
    <w:multiLevelType w:val="hybridMultilevel"/>
    <w:tmpl w:val="A5AEAD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E1416B9"/>
    <w:multiLevelType w:val="multilevel"/>
    <w:tmpl w:val="DB86539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7F814625"/>
    <w:multiLevelType w:val="hybridMultilevel"/>
    <w:tmpl w:val="60144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7"/>
  </w:num>
  <w:num w:numId="4">
    <w:abstractNumId w:val="5"/>
  </w:num>
  <w:num w:numId="5">
    <w:abstractNumId w:val="6"/>
  </w:num>
  <w:num w:numId="6">
    <w:abstractNumId w:val="9"/>
  </w:num>
  <w:num w:numId="7">
    <w:abstractNumId w:val="13"/>
  </w:num>
  <w:num w:numId="8">
    <w:abstractNumId w:val="23"/>
  </w:num>
  <w:num w:numId="9">
    <w:abstractNumId w:val="16"/>
  </w:num>
  <w:num w:numId="10">
    <w:abstractNumId w:val="10"/>
  </w:num>
  <w:num w:numId="11">
    <w:abstractNumId w:val="14"/>
  </w:num>
  <w:num w:numId="12">
    <w:abstractNumId w:val="27"/>
  </w:num>
  <w:num w:numId="13">
    <w:abstractNumId w:val="12"/>
  </w:num>
  <w:num w:numId="14">
    <w:abstractNumId w:val="7"/>
  </w:num>
  <w:num w:numId="15">
    <w:abstractNumId w:val="4"/>
  </w:num>
  <w:num w:numId="16">
    <w:abstractNumId w:val="28"/>
  </w:num>
  <w:num w:numId="17">
    <w:abstractNumId w:val="19"/>
  </w:num>
  <w:num w:numId="18">
    <w:abstractNumId w:val="22"/>
  </w:num>
  <w:num w:numId="19">
    <w:abstractNumId w:val="24"/>
  </w:num>
  <w:num w:numId="20">
    <w:abstractNumId w:val="25"/>
  </w:num>
  <w:num w:numId="21">
    <w:abstractNumId w:val="3"/>
  </w:num>
  <w:num w:numId="22">
    <w:abstractNumId w:val="20"/>
  </w:num>
  <w:num w:numId="23">
    <w:abstractNumId w:val="11"/>
  </w:num>
  <w:num w:numId="24">
    <w:abstractNumId w:val="8"/>
  </w:num>
  <w:num w:numId="25">
    <w:abstractNumId w:val="15"/>
  </w:num>
  <w:num w:numId="26">
    <w:abstractNumId w:val="0"/>
  </w:num>
  <w:num w:numId="27">
    <w:abstractNumId w:val="30"/>
  </w:num>
  <w:num w:numId="28">
    <w:abstractNumId w:val="18"/>
  </w:num>
  <w:num w:numId="29">
    <w:abstractNumId w:val="33"/>
  </w:num>
  <w:num w:numId="30">
    <w:abstractNumId w:val="1"/>
  </w:num>
  <w:num w:numId="31">
    <w:abstractNumId w:val="31"/>
  </w:num>
  <w:num w:numId="32">
    <w:abstractNumId w:val="34"/>
  </w:num>
  <w:num w:numId="33">
    <w:abstractNumId w:val="2"/>
  </w:num>
  <w:num w:numId="34">
    <w:abstractNumId w:val="2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E7"/>
    <w:rsid w:val="000006E5"/>
    <w:rsid w:val="00000B20"/>
    <w:rsid w:val="000028EF"/>
    <w:rsid w:val="000047F0"/>
    <w:rsid w:val="0000618D"/>
    <w:rsid w:val="00010B12"/>
    <w:rsid w:val="00014AC4"/>
    <w:rsid w:val="00014EE5"/>
    <w:rsid w:val="0001793A"/>
    <w:rsid w:val="0002051C"/>
    <w:rsid w:val="00020ABB"/>
    <w:rsid w:val="00024173"/>
    <w:rsid w:val="00027636"/>
    <w:rsid w:val="00027909"/>
    <w:rsid w:val="000306F1"/>
    <w:rsid w:val="00033C89"/>
    <w:rsid w:val="000342C0"/>
    <w:rsid w:val="0003514A"/>
    <w:rsid w:val="0003568D"/>
    <w:rsid w:val="00036BC5"/>
    <w:rsid w:val="0003772F"/>
    <w:rsid w:val="00042D92"/>
    <w:rsid w:val="00043572"/>
    <w:rsid w:val="00043CC6"/>
    <w:rsid w:val="0004451E"/>
    <w:rsid w:val="00044EA1"/>
    <w:rsid w:val="000460BB"/>
    <w:rsid w:val="000512A6"/>
    <w:rsid w:val="00054655"/>
    <w:rsid w:val="00054A3C"/>
    <w:rsid w:val="00061448"/>
    <w:rsid w:val="00063524"/>
    <w:rsid w:val="00063AAA"/>
    <w:rsid w:val="000657FE"/>
    <w:rsid w:val="00067F37"/>
    <w:rsid w:val="00073A8F"/>
    <w:rsid w:val="00073EAC"/>
    <w:rsid w:val="00074177"/>
    <w:rsid w:val="000770B3"/>
    <w:rsid w:val="000822EB"/>
    <w:rsid w:val="00083FF1"/>
    <w:rsid w:val="000845DA"/>
    <w:rsid w:val="00085B5D"/>
    <w:rsid w:val="00085D60"/>
    <w:rsid w:val="00086FF5"/>
    <w:rsid w:val="000A0012"/>
    <w:rsid w:val="000A1932"/>
    <w:rsid w:val="000A41AF"/>
    <w:rsid w:val="000A5F37"/>
    <w:rsid w:val="000B01EF"/>
    <w:rsid w:val="000B55F9"/>
    <w:rsid w:val="000B5F29"/>
    <w:rsid w:val="000B69F6"/>
    <w:rsid w:val="000C20FE"/>
    <w:rsid w:val="000C631B"/>
    <w:rsid w:val="000D0342"/>
    <w:rsid w:val="000D0A44"/>
    <w:rsid w:val="000D0F4A"/>
    <w:rsid w:val="000D39AF"/>
    <w:rsid w:val="000E4714"/>
    <w:rsid w:val="00100E46"/>
    <w:rsid w:val="00101A52"/>
    <w:rsid w:val="00104946"/>
    <w:rsid w:val="00111DBD"/>
    <w:rsid w:val="0011630B"/>
    <w:rsid w:val="00120E13"/>
    <w:rsid w:val="0012389B"/>
    <w:rsid w:val="00123F38"/>
    <w:rsid w:val="0012432C"/>
    <w:rsid w:val="001244E7"/>
    <w:rsid w:val="00124786"/>
    <w:rsid w:val="001311D4"/>
    <w:rsid w:val="00132BEA"/>
    <w:rsid w:val="00133303"/>
    <w:rsid w:val="0013631F"/>
    <w:rsid w:val="00140346"/>
    <w:rsid w:val="00142B8A"/>
    <w:rsid w:val="001463D0"/>
    <w:rsid w:val="0015051B"/>
    <w:rsid w:val="00151B6C"/>
    <w:rsid w:val="001550E8"/>
    <w:rsid w:val="001604E4"/>
    <w:rsid w:val="001626AB"/>
    <w:rsid w:val="00166390"/>
    <w:rsid w:val="00167ED7"/>
    <w:rsid w:val="00172724"/>
    <w:rsid w:val="00172BE2"/>
    <w:rsid w:val="00172C59"/>
    <w:rsid w:val="00175FC4"/>
    <w:rsid w:val="00181F2C"/>
    <w:rsid w:val="00183928"/>
    <w:rsid w:val="00185BD7"/>
    <w:rsid w:val="00187684"/>
    <w:rsid w:val="00190E5A"/>
    <w:rsid w:val="001971C6"/>
    <w:rsid w:val="001A2074"/>
    <w:rsid w:val="001A3489"/>
    <w:rsid w:val="001A5E17"/>
    <w:rsid w:val="001B3874"/>
    <w:rsid w:val="001B593F"/>
    <w:rsid w:val="001C3A4B"/>
    <w:rsid w:val="001C4F36"/>
    <w:rsid w:val="001C6F38"/>
    <w:rsid w:val="001D0176"/>
    <w:rsid w:val="001D43D7"/>
    <w:rsid w:val="001D6FF4"/>
    <w:rsid w:val="001E29E9"/>
    <w:rsid w:val="001F06FD"/>
    <w:rsid w:val="001F09AF"/>
    <w:rsid w:val="001F4343"/>
    <w:rsid w:val="002014BD"/>
    <w:rsid w:val="00203342"/>
    <w:rsid w:val="00204270"/>
    <w:rsid w:val="002049C5"/>
    <w:rsid w:val="00217768"/>
    <w:rsid w:val="00222978"/>
    <w:rsid w:val="00222ABC"/>
    <w:rsid w:val="0022364A"/>
    <w:rsid w:val="00226D44"/>
    <w:rsid w:val="0023149E"/>
    <w:rsid w:val="002408D4"/>
    <w:rsid w:val="002409A8"/>
    <w:rsid w:val="00240A60"/>
    <w:rsid w:val="00251B6A"/>
    <w:rsid w:val="00251C85"/>
    <w:rsid w:val="00252C9C"/>
    <w:rsid w:val="00257583"/>
    <w:rsid w:val="00257D28"/>
    <w:rsid w:val="002637A3"/>
    <w:rsid w:val="002669D7"/>
    <w:rsid w:val="002676EA"/>
    <w:rsid w:val="0027571E"/>
    <w:rsid w:val="00276C83"/>
    <w:rsid w:val="002804EA"/>
    <w:rsid w:val="002810D0"/>
    <w:rsid w:val="002860AC"/>
    <w:rsid w:val="00286D1F"/>
    <w:rsid w:val="00287D9D"/>
    <w:rsid w:val="002A4DE7"/>
    <w:rsid w:val="002B40E7"/>
    <w:rsid w:val="002B5C55"/>
    <w:rsid w:val="002C72C4"/>
    <w:rsid w:val="002D1A39"/>
    <w:rsid w:val="002D1F08"/>
    <w:rsid w:val="002D718F"/>
    <w:rsid w:val="002E7030"/>
    <w:rsid w:val="002F58D3"/>
    <w:rsid w:val="00302890"/>
    <w:rsid w:val="0030428F"/>
    <w:rsid w:val="003060CD"/>
    <w:rsid w:val="00314FEC"/>
    <w:rsid w:val="0031610B"/>
    <w:rsid w:val="00327013"/>
    <w:rsid w:val="00330A45"/>
    <w:rsid w:val="00331B89"/>
    <w:rsid w:val="003334C8"/>
    <w:rsid w:val="00343538"/>
    <w:rsid w:val="00343D79"/>
    <w:rsid w:val="00344F28"/>
    <w:rsid w:val="00345040"/>
    <w:rsid w:val="00345484"/>
    <w:rsid w:val="00350E41"/>
    <w:rsid w:val="00351EFF"/>
    <w:rsid w:val="003619AD"/>
    <w:rsid w:val="0036426D"/>
    <w:rsid w:val="003645FB"/>
    <w:rsid w:val="00366934"/>
    <w:rsid w:val="00370B6B"/>
    <w:rsid w:val="003737EB"/>
    <w:rsid w:val="00373D6B"/>
    <w:rsid w:val="00377B53"/>
    <w:rsid w:val="00382651"/>
    <w:rsid w:val="00383CC3"/>
    <w:rsid w:val="00394262"/>
    <w:rsid w:val="003A1858"/>
    <w:rsid w:val="003A5639"/>
    <w:rsid w:val="003A5C2C"/>
    <w:rsid w:val="003A6F9C"/>
    <w:rsid w:val="003B7808"/>
    <w:rsid w:val="003C1896"/>
    <w:rsid w:val="003D6461"/>
    <w:rsid w:val="003E1D9A"/>
    <w:rsid w:val="003E2C89"/>
    <w:rsid w:val="003E7B84"/>
    <w:rsid w:val="003E7D92"/>
    <w:rsid w:val="003F1201"/>
    <w:rsid w:val="003F1362"/>
    <w:rsid w:val="00400349"/>
    <w:rsid w:val="004021E1"/>
    <w:rsid w:val="00403F74"/>
    <w:rsid w:val="00404800"/>
    <w:rsid w:val="00417562"/>
    <w:rsid w:val="004234A1"/>
    <w:rsid w:val="00424A87"/>
    <w:rsid w:val="00424EF7"/>
    <w:rsid w:val="00427FF4"/>
    <w:rsid w:val="00430EA8"/>
    <w:rsid w:val="0044561B"/>
    <w:rsid w:val="00447C73"/>
    <w:rsid w:val="00450360"/>
    <w:rsid w:val="00451B6F"/>
    <w:rsid w:val="00457600"/>
    <w:rsid w:val="00481A42"/>
    <w:rsid w:val="0048617E"/>
    <w:rsid w:val="00490415"/>
    <w:rsid w:val="00497698"/>
    <w:rsid w:val="0049780C"/>
    <w:rsid w:val="004A4CE2"/>
    <w:rsid w:val="004A4D15"/>
    <w:rsid w:val="004B1D94"/>
    <w:rsid w:val="004B62B0"/>
    <w:rsid w:val="004D20B3"/>
    <w:rsid w:val="004D551D"/>
    <w:rsid w:val="004E2256"/>
    <w:rsid w:val="004F0B16"/>
    <w:rsid w:val="004F5FC0"/>
    <w:rsid w:val="004F7CCD"/>
    <w:rsid w:val="00505C33"/>
    <w:rsid w:val="00510A72"/>
    <w:rsid w:val="005118E2"/>
    <w:rsid w:val="00512B56"/>
    <w:rsid w:val="0051608A"/>
    <w:rsid w:val="005347D1"/>
    <w:rsid w:val="00536BFB"/>
    <w:rsid w:val="005414EE"/>
    <w:rsid w:val="00542358"/>
    <w:rsid w:val="00544669"/>
    <w:rsid w:val="00547D72"/>
    <w:rsid w:val="00553EC7"/>
    <w:rsid w:val="00554AD4"/>
    <w:rsid w:val="00555A54"/>
    <w:rsid w:val="00555E40"/>
    <w:rsid w:val="00560303"/>
    <w:rsid w:val="0056129F"/>
    <w:rsid w:val="00563BEB"/>
    <w:rsid w:val="00574284"/>
    <w:rsid w:val="00575CA9"/>
    <w:rsid w:val="00576F81"/>
    <w:rsid w:val="00582A93"/>
    <w:rsid w:val="00583A45"/>
    <w:rsid w:val="00586F33"/>
    <w:rsid w:val="00587B60"/>
    <w:rsid w:val="00595D78"/>
    <w:rsid w:val="005A2222"/>
    <w:rsid w:val="005A4B47"/>
    <w:rsid w:val="005A5538"/>
    <w:rsid w:val="005A64E6"/>
    <w:rsid w:val="005B1E00"/>
    <w:rsid w:val="005B4CF4"/>
    <w:rsid w:val="005B4D69"/>
    <w:rsid w:val="005B68CB"/>
    <w:rsid w:val="005B7059"/>
    <w:rsid w:val="005C32BD"/>
    <w:rsid w:val="005D4B89"/>
    <w:rsid w:val="005E12BF"/>
    <w:rsid w:val="005F13AD"/>
    <w:rsid w:val="005F7B2F"/>
    <w:rsid w:val="006038DE"/>
    <w:rsid w:val="0060447E"/>
    <w:rsid w:val="006061CD"/>
    <w:rsid w:val="00607C99"/>
    <w:rsid w:val="00612A43"/>
    <w:rsid w:val="00612FF7"/>
    <w:rsid w:val="006162A6"/>
    <w:rsid w:val="0062176E"/>
    <w:rsid w:val="00621FEF"/>
    <w:rsid w:val="006232B5"/>
    <w:rsid w:val="006247BC"/>
    <w:rsid w:val="0062604F"/>
    <w:rsid w:val="00643BF5"/>
    <w:rsid w:val="00645308"/>
    <w:rsid w:val="00646BCE"/>
    <w:rsid w:val="0066113F"/>
    <w:rsid w:val="00673704"/>
    <w:rsid w:val="00675F3E"/>
    <w:rsid w:val="006779BC"/>
    <w:rsid w:val="00684243"/>
    <w:rsid w:val="00685E19"/>
    <w:rsid w:val="00695767"/>
    <w:rsid w:val="006974A4"/>
    <w:rsid w:val="006A2163"/>
    <w:rsid w:val="006B0648"/>
    <w:rsid w:val="006B43A7"/>
    <w:rsid w:val="006C0654"/>
    <w:rsid w:val="006C29FF"/>
    <w:rsid w:val="006C3BFA"/>
    <w:rsid w:val="006C7012"/>
    <w:rsid w:val="006D4428"/>
    <w:rsid w:val="006E5FF5"/>
    <w:rsid w:val="006F31F3"/>
    <w:rsid w:val="006F4B99"/>
    <w:rsid w:val="006F5240"/>
    <w:rsid w:val="006F5812"/>
    <w:rsid w:val="006F7AF5"/>
    <w:rsid w:val="0070630D"/>
    <w:rsid w:val="00706B75"/>
    <w:rsid w:val="00711ADC"/>
    <w:rsid w:val="00716681"/>
    <w:rsid w:val="00726098"/>
    <w:rsid w:val="007266E5"/>
    <w:rsid w:val="00731810"/>
    <w:rsid w:val="007338F6"/>
    <w:rsid w:val="00733FBC"/>
    <w:rsid w:val="00735455"/>
    <w:rsid w:val="00746555"/>
    <w:rsid w:val="00746708"/>
    <w:rsid w:val="00750232"/>
    <w:rsid w:val="00755544"/>
    <w:rsid w:val="00755712"/>
    <w:rsid w:val="00760095"/>
    <w:rsid w:val="00760C73"/>
    <w:rsid w:val="00760D91"/>
    <w:rsid w:val="00774BB7"/>
    <w:rsid w:val="0077747A"/>
    <w:rsid w:val="00780C5F"/>
    <w:rsid w:val="0078283E"/>
    <w:rsid w:val="00792E36"/>
    <w:rsid w:val="007A04AE"/>
    <w:rsid w:val="007A3BC9"/>
    <w:rsid w:val="007B1E72"/>
    <w:rsid w:val="007B6BFC"/>
    <w:rsid w:val="007C07CE"/>
    <w:rsid w:val="007C23C3"/>
    <w:rsid w:val="007C281D"/>
    <w:rsid w:val="007C4B31"/>
    <w:rsid w:val="007C7EAC"/>
    <w:rsid w:val="007D1226"/>
    <w:rsid w:val="007D44DB"/>
    <w:rsid w:val="007D500B"/>
    <w:rsid w:val="007D78CF"/>
    <w:rsid w:val="007E191D"/>
    <w:rsid w:val="007E1A38"/>
    <w:rsid w:val="007E3664"/>
    <w:rsid w:val="007E6604"/>
    <w:rsid w:val="007F55AC"/>
    <w:rsid w:val="00803F03"/>
    <w:rsid w:val="00807F54"/>
    <w:rsid w:val="00810E8A"/>
    <w:rsid w:val="00812AC3"/>
    <w:rsid w:val="00812D72"/>
    <w:rsid w:val="00812FE9"/>
    <w:rsid w:val="0081424A"/>
    <w:rsid w:val="00821040"/>
    <w:rsid w:val="0082265E"/>
    <w:rsid w:val="0082296A"/>
    <w:rsid w:val="00824129"/>
    <w:rsid w:val="0082738D"/>
    <w:rsid w:val="0083069A"/>
    <w:rsid w:val="0083269B"/>
    <w:rsid w:val="00840874"/>
    <w:rsid w:val="00844318"/>
    <w:rsid w:val="0085056E"/>
    <w:rsid w:val="00851C37"/>
    <w:rsid w:val="008564FF"/>
    <w:rsid w:val="00857A07"/>
    <w:rsid w:val="008616D7"/>
    <w:rsid w:val="008622FD"/>
    <w:rsid w:val="00870453"/>
    <w:rsid w:val="00874D79"/>
    <w:rsid w:val="008819E6"/>
    <w:rsid w:val="00894380"/>
    <w:rsid w:val="00894974"/>
    <w:rsid w:val="00895EF3"/>
    <w:rsid w:val="00896C10"/>
    <w:rsid w:val="008A0383"/>
    <w:rsid w:val="008A40E0"/>
    <w:rsid w:val="008A7624"/>
    <w:rsid w:val="008B11F1"/>
    <w:rsid w:val="008B67BC"/>
    <w:rsid w:val="008B7DD0"/>
    <w:rsid w:val="008C3361"/>
    <w:rsid w:val="008C3BEF"/>
    <w:rsid w:val="008C3E7E"/>
    <w:rsid w:val="008C3EE0"/>
    <w:rsid w:val="008D135D"/>
    <w:rsid w:val="008D172F"/>
    <w:rsid w:val="008D3176"/>
    <w:rsid w:val="008D3B98"/>
    <w:rsid w:val="008D45C8"/>
    <w:rsid w:val="008E6589"/>
    <w:rsid w:val="008F316A"/>
    <w:rsid w:val="008F35A1"/>
    <w:rsid w:val="00904124"/>
    <w:rsid w:val="0090669E"/>
    <w:rsid w:val="00911E11"/>
    <w:rsid w:val="00921BC1"/>
    <w:rsid w:val="00921DC8"/>
    <w:rsid w:val="00927177"/>
    <w:rsid w:val="0093002D"/>
    <w:rsid w:val="00937AF0"/>
    <w:rsid w:val="00943164"/>
    <w:rsid w:val="0094401D"/>
    <w:rsid w:val="0094522C"/>
    <w:rsid w:val="009476AC"/>
    <w:rsid w:val="00954002"/>
    <w:rsid w:val="0095685D"/>
    <w:rsid w:val="009616D3"/>
    <w:rsid w:val="00962F50"/>
    <w:rsid w:val="00966B63"/>
    <w:rsid w:val="009701D1"/>
    <w:rsid w:val="009713AB"/>
    <w:rsid w:val="009763F7"/>
    <w:rsid w:val="00981792"/>
    <w:rsid w:val="009857E6"/>
    <w:rsid w:val="0099650F"/>
    <w:rsid w:val="009A2BCD"/>
    <w:rsid w:val="009A5ECD"/>
    <w:rsid w:val="009A7227"/>
    <w:rsid w:val="009B5BC7"/>
    <w:rsid w:val="009D12F2"/>
    <w:rsid w:val="009D25A2"/>
    <w:rsid w:val="009D3A4B"/>
    <w:rsid w:val="009D4339"/>
    <w:rsid w:val="009D6535"/>
    <w:rsid w:val="009F23C5"/>
    <w:rsid w:val="009F4EA3"/>
    <w:rsid w:val="009F695A"/>
    <w:rsid w:val="00A0078C"/>
    <w:rsid w:val="00A018B4"/>
    <w:rsid w:val="00A21415"/>
    <w:rsid w:val="00A22BE4"/>
    <w:rsid w:val="00A239E9"/>
    <w:rsid w:val="00A31A63"/>
    <w:rsid w:val="00A31AC0"/>
    <w:rsid w:val="00A31C1B"/>
    <w:rsid w:val="00A50878"/>
    <w:rsid w:val="00A51D90"/>
    <w:rsid w:val="00A5553C"/>
    <w:rsid w:val="00A62643"/>
    <w:rsid w:val="00A666BD"/>
    <w:rsid w:val="00A72F6D"/>
    <w:rsid w:val="00A74985"/>
    <w:rsid w:val="00A7526F"/>
    <w:rsid w:val="00A776B7"/>
    <w:rsid w:val="00A77BB3"/>
    <w:rsid w:val="00A77DA5"/>
    <w:rsid w:val="00A809C9"/>
    <w:rsid w:val="00A8420F"/>
    <w:rsid w:val="00A86A3D"/>
    <w:rsid w:val="00A8757C"/>
    <w:rsid w:val="00A915FE"/>
    <w:rsid w:val="00A93F1E"/>
    <w:rsid w:val="00A9578A"/>
    <w:rsid w:val="00A96E91"/>
    <w:rsid w:val="00AB3CFA"/>
    <w:rsid w:val="00AC3063"/>
    <w:rsid w:val="00AC4257"/>
    <w:rsid w:val="00AD4028"/>
    <w:rsid w:val="00AD4519"/>
    <w:rsid w:val="00AF0011"/>
    <w:rsid w:val="00AF05A7"/>
    <w:rsid w:val="00AF7BD5"/>
    <w:rsid w:val="00B0015D"/>
    <w:rsid w:val="00B0348C"/>
    <w:rsid w:val="00B06EF6"/>
    <w:rsid w:val="00B0742A"/>
    <w:rsid w:val="00B10643"/>
    <w:rsid w:val="00B110B0"/>
    <w:rsid w:val="00B23819"/>
    <w:rsid w:val="00B301DB"/>
    <w:rsid w:val="00B31A06"/>
    <w:rsid w:val="00B3583D"/>
    <w:rsid w:val="00B37BDB"/>
    <w:rsid w:val="00B37E5D"/>
    <w:rsid w:val="00B420F9"/>
    <w:rsid w:val="00B43CAA"/>
    <w:rsid w:val="00B442F9"/>
    <w:rsid w:val="00B45AE4"/>
    <w:rsid w:val="00B47465"/>
    <w:rsid w:val="00B50E76"/>
    <w:rsid w:val="00B54C55"/>
    <w:rsid w:val="00B62055"/>
    <w:rsid w:val="00B73741"/>
    <w:rsid w:val="00B758B1"/>
    <w:rsid w:val="00B75D03"/>
    <w:rsid w:val="00B811C7"/>
    <w:rsid w:val="00B83084"/>
    <w:rsid w:val="00B84052"/>
    <w:rsid w:val="00B87B17"/>
    <w:rsid w:val="00BA01C5"/>
    <w:rsid w:val="00BA25A9"/>
    <w:rsid w:val="00BA6923"/>
    <w:rsid w:val="00BB494A"/>
    <w:rsid w:val="00BB7E3F"/>
    <w:rsid w:val="00BC12F9"/>
    <w:rsid w:val="00BC17CD"/>
    <w:rsid w:val="00BD489F"/>
    <w:rsid w:val="00BD6A6C"/>
    <w:rsid w:val="00BE04BD"/>
    <w:rsid w:val="00BE1F96"/>
    <w:rsid w:val="00BE2D03"/>
    <w:rsid w:val="00BE717A"/>
    <w:rsid w:val="00BE776E"/>
    <w:rsid w:val="00BE7F71"/>
    <w:rsid w:val="00BF17F2"/>
    <w:rsid w:val="00BF4568"/>
    <w:rsid w:val="00BF58AE"/>
    <w:rsid w:val="00C01E7F"/>
    <w:rsid w:val="00C05434"/>
    <w:rsid w:val="00C142DE"/>
    <w:rsid w:val="00C20965"/>
    <w:rsid w:val="00C211C9"/>
    <w:rsid w:val="00C30861"/>
    <w:rsid w:val="00C332FD"/>
    <w:rsid w:val="00C434A1"/>
    <w:rsid w:val="00C436E9"/>
    <w:rsid w:val="00C43786"/>
    <w:rsid w:val="00C47020"/>
    <w:rsid w:val="00C53BCB"/>
    <w:rsid w:val="00C5541E"/>
    <w:rsid w:val="00C6061F"/>
    <w:rsid w:val="00C62B9C"/>
    <w:rsid w:val="00C70F34"/>
    <w:rsid w:val="00C73537"/>
    <w:rsid w:val="00C75DDE"/>
    <w:rsid w:val="00C84850"/>
    <w:rsid w:val="00C902A7"/>
    <w:rsid w:val="00CA133A"/>
    <w:rsid w:val="00CA576C"/>
    <w:rsid w:val="00CC64D5"/>
    <w:rsid w:val="00CD0DCF"/>
    <w:rsid w:val="00CD17B2"/>
    <w:rsid w:val="00CD3F3C"/>
    <w:rsid w:val="00CD557E"/>
    <w:rsid w:val="00CD58FF"/>
    <w:rsid w:val="00CE0766"/>
    <w:rsid w:val="00CE0937"/>
    <w:rsid w:val="00CE195E"/>
    <w:rsid w:val="00CF0C1B"/>
    <w:rsid w:val="00CF551F"/>
    <w:rsid w:val="00CF623F"/>
    <w:rsid w:val="00CF6E94"/>
    <w:rsid w:val="00CF75D0"/>
    <w:rsid w:val="00D04162"/>
    <w:rsid w:val="00D05F7A"/>
    <w:rsid w:val="00D13DEF"/>
    <w:rsid w:val="00D16551"/>
    <w:rsid w:val="00D22E9F"/>
    <w:rsid w:val="00D2635E"/>
    <w:rsid w:val="00D36360"/>
    <w:rsid w:val="00D435B9"/>
    <w:rsid w:val="00D44951"/>
    <w:rsid w:val="00D5040A"/>
    <w:rsid w:val="00D50C12"/>
    <w:rsid w:val="00D51139"/>
    <w:rsid w:val="00D52300"/>
    <w:rsid w:val="00D53302"/>
    <w:rsid w:val="00D5577B"/>
    <w:rsid w:val="00D60242"/>
    <w:rsid w:val="00D61217"/>
    <w:rsid w:val="00D626FF"/>
    <w:rsid w:val="00D70D08"/>
    <w:rsid w:val="00D763E7"/>
    <w:rsid w:val="00D774CB"/>
    <w:rsid w:val="00D830FF"/>
    <w:rsid w:val="00D8346F"/>
    <w:rsid w:val="00D9090C"/>
    <w:rsid w:val="00D935F3"/>
    <w:rsid w:val="00D93AC0"/>
    <w:rsid w:val="00D9431D"/>
    <w:rsid w:val="00D96E2B"/>
    <w:rsid w:val="00DA2C7C"/>
    <w:rsid w:val="00DA772C"/>
    <w:rsid w:val="00DB01DD"/>
    <w:rsid w:val="00DB0522"/>
    <w:rsid w:val="00DB49EC"/>
    <w:rsid w:val="00DB6253"/>
    <w:rsid w:val="00DC2AED"/>
    <w:rsid w:val="00DC5867"/>
    <w:rsid w:val="00DD1E35"/>
    <w:rsid w:val="00DD3B25"/>
    <w:rsid w:val="00DD6680"/>
    <w:rsid w:val="00DD673C"/>
    <w:rsid w:val="00DE06C4"/>
    <w:rsid w:val="00DE0F33"/>
    <w:rsid w:val="00DE546B"/>
    <w:rsid w:val="00DE5CF4"/>
    <w:rsid w:val="00DF0EA3"/>
    <w:rsid w:val="00DF3228"/>
    <w:rsid w:val="00DF518B"/>
    <w:rsid w:val="00E01CC7"/>
    <w:rsid w:val="00E0327E"/>
    <w:rsid w:val="00E06725"/>
    <w:rsid w:val="00E10FFF"/>
    <w:rsid w:val="00E21DBA"/>
    <w:rsid w:val="00E27D89"/>
    <w:rsid w:val="00E3092E"/>
    <w:rsid w:val="00E31708"/>
    <w:rsid w:val="00E31B73"/>
    <w:rsid w:val="00E521E7"/>
    <w:rsid w:val="00E55B79"/>
    <w:rsid w:val="00E62CAB"/>
    <w:rsid w:val="00E63FDF"/>
    <w:rsid w:val="00E667FD"/>
    <w:rsid w:val="00E66AF7"/>
    <w:rsid w:val="00E67386"/>
    <w:rsid w:val="00E7463C"/>
    <w:rsid w:val="00E75025"/>
    <w:rsid w:val="00E811EB"/>
    <w:rsid w:val="00E83CEC"/>
    <w:rsid w:val="00E8427F"/>
    <w:rsid w:val="00E85443"/>
    <w:rsid w:val="00E87070"/>
    <w:rsid w:val="00EA480E"/>
    <w:rsid w:val="00EA7A3D"/>
    <w:rsid w:val="00EB17CA"/>
    <w:rsid w:val="00EB26E6"/>
    <w:rsid w:val="00EC34B4"/>
    <w:rsid w:val="00ED2F7F"/>
    <w:rsid w:val="00ED45C2"/>
    <w:rsid w:val="00ED48C6"/>
    <w:rsid w:val="00ED74DD"/>
    <w:rsid w:val="00EE0237"/>
    <w:rsid w:val="00EE0B7E"/>
    <w:rsid w:val="00EE233A"/>
    <w:rsid w:val="00EE3B9A"/>
    <w:rsid w:val="00EE49A8"/>
    <w:rsid w:val="00EF1658"/>
    <w:rsid w:val="00EF1806"/>
    <w:rsid w:val="00EF24A9"/>
    <w:rsid w:val="00EF5D62"/>
    <w:rsid w:val="00EF7BE9"/>
    <w:rsid w:val="00F05461"/>
    <w:rsid w:val="00F05B42"/>
    <w:rsid w:val="00F07F3C"/>
    <w:rsid w:val="00F14117"/>
    <w:rsid w:val="00F2345A"/>
    <w:rsid w:val="00F237C3"/>
    <w:rsid w:val="00F247B0"/>
    <w:rsid w:val="00F3043D"/>
    <w:rsid w:val="00F332A5"/>
    <w:rsid w:val="00F459D7"/>
    <w:rsid w:val="00F45E55"/>
    <w:rsid w:val="00F532CC"/>
    <w:rsid w:val="00F54910"/>
    <w:rsid w:val="00F57D2C"/>
    <w:rsid w:val="00F60DFC"/>
    <w:rsid w:val="00F62F10"/>
    <w:rsid w:val="00F65C36"/>
    <w:rsid w:val="00F73685"/>
    <w:rsid w:val="00F80C40"/>
    <w:rsid w:val="00F815FF"/>
    <w:rsid w:val="00F82C97"/>
    <w:rsid w:val="00F849B0"/>
    <w:rsid w:val="00F84D6E"/>
    <w:rsid w:val="00F84DE9"/>
    <w:rsid w:val="00F85EEF"/>
    <w:rsid w:val="00F87D1D"/>
    <w:rsid w:val="00F92768"/>
    <w:rsid w:val="00F97C62"/>
    <w:rsid w:val="00FA4861"/>
    <w:rsid w:val="00FA48FD"/>
    <w:rsid w:val="00FA7E92"/>
    <w:rsid w:val="00FB2F86"/>
    <w:rsid w:val="00FB489E"/>
    <w:rsid w:val="00FB4986"/>
    <w:rsid w:val="00FB5552"/>
    <w:rsid w:val="00FB7CDA"/>
    <w:rsid w:val="00FC59EF"/>
    <w:rsid w:val="00FD6E7B"/>
    <w:rsid w:val="00FE0DBA"/>
    <w:rsid w:val="00FE223C"/>
    <w:rsid w:val="00FE567B"/>
    <w:rsid w:val="00FF0DA1"/>
    <w:rsid w:val="00FF69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D998"/>
  <w15:chartTrackingRefBased/>
  <w15:docId w15:val="{75FAB435-EC45-4D2C-85C6-A54C5A4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E7"/>
    <w:pPr>
      <w:spacing w:after="120" w:line="264" w:lineRule="auto"/>
    </w:pPr>
    <w:rPr>
      <w:rFonts w:ascii="Calibri" w:eastAsia="Times New Roman" w:hAnsi="Calibri" w:cs="Times New Roman"/>
      <w:sz w:val="20"/>
      <w:szCs w:val="20"/>
      <w:lang w:eastAsia="es-CO"/>
    </w:rPr>
  </w:style>
  <w:style w:type="paragraph" w:styleId="Ttulo1">
    <w:name w:val="heading 1"/>
    <w:basedOn w:val="Normal"/>
    <w:next w:val="Normal"/>
    <w:link w:val="Ttulo1Car"/>
    <w:uiPriority w:val="9"/>
    <w:qFormat/>
    <w:rsid w:val="007C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A722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21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1E7"/>
  </w:style>
  <w:style w:type="paragraph" w:styleId="Piedepgina">
    <w:name w:val="footer"/>
    <w:basedOn w:val="Normal"/>
    <w:link w:val="PiedepginaCar"/>
    <w:uiPriority w:val="99"/>
    <w:unhideWhenUsed/>
    <w:rsid w:val="00E521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1E7"/>
  </w:style>
  <w:style w:type="paragraph" w:styleId="Prrafodelista">
    <w:name w:val="List Paragraph"/>
    <w:basedOn w:val="Normal"/>
    <w:uiPriority w:val="34"/>
    <w:qFormat/>
    <w:rsid w:val="00E521E7"/>
    <w:pPr>
      <w:ind w:left="720"/>
      <w:contextualSpacing/>
    </w:pPr>
  </w:style>
  <w:style w:type="paragraph" w:customStyle="1" w:styleId="CUERPO1">
    <w:name w:val="CUERPO1"/>
    <w:basedOn w:val="Normal"/>
    <w:link w:val="CUERPO1Car"/>
    <w:qFormat/>
    <w:rsid w:val="00000B20"/>
    <w:pPr>
      <w:jc w:val="both"/>
    </w:pPr>
    <w:rPr>
      <w:rFonts w:ascii="Arial" w:hAnsi="Arial" w:cs="Arial"/>
    </w:rPr>
  </w:style>
  <w:style w:type="character" w:customStyle="1" w:styleId="CUERPO1Car">
    <w:name w:val="CUERPO1 Car"/>
    <w:link w:val="CUERPO1"/>
    <w:rsid w:val="00000B20"/>
    <w:rPr>
      <w:rFonts w:ascii="Arial" w:eastAsia="Times New Roman" w:hAnsi="Arial" w:cs="Arial"/>
      <w:sz w:val="20"/>
      <w:szCs w:val="20"/>
      <w:lang w:eastAsia="es-CO"/>
    </w:rPr>
  </w:style>
  <w:style w:type="character" w:styleId="Textoennegrita">
    <w:name w:val="Strong"/>
    <w:basedOn w:val="Fuentedeprrafopredeter"/>
    <w:uiPriority w:val="22"/>
    <w:qFormat/>
    <w:rsid w:val="0012432C"/>
    <w:rPr>
      <w:b/>
      <w:bCs/>
    </w:rPr>
  </w:style>
  <w:style w:type="character" w:customStyle="1" w:styleId="apple-converted-space">
    <w:name w:val="apple-converted-space"/>
    <w:basedOn w:val="Fuentedeprrafopredeter"/>
    <w:rsid w:val="0012432C"/>
  </w:style>
  <w:style w:type="character" w:styleId="Hipervnculo">
    <w:name w:val="Hyperlink"/>
    <w:basedOn w:val="Fuentedeprrafopredeter"/>
    <w:uiPriority w:val="99"/>
    <w:semiHidden/>
    <w:unhideWhenUsed/>
    <w:rsid w:val="0012432C"/>
    <w:rPr>
      <w:color w:val="0000FF"/>
      <w:u w:val="single"/>
    </w:rPr>
  </w:style>
  <w:style w:type="paragraph" w:customStyle="1" w:styleId="cuadro1">
    <w:name w:val="cuadro 1"/>
    <w:basedOn w:val="Normal"/>
    <w:link w:val="cuadro1Car"/>
    <w:qFormat/>
    <w:rsid w:val="0081424A"/>
    <w:pPr>
      <w:jc w:val="center"/>
    </w:pPr>
    <w:rPr>
      <w:rFonts w:ascii="Arial" w:hAnsi="Arial" w:cs="Arial"/>
      <w:sz w:val="24"/>
      <w:szCs w:val="24"/>
      <w:lang w:val="es-MX"/>
    </w:rPr>
  </w:style>
  <w:style w:type="character" w:customStyle="1" w:styleId="cuadro1Car">
    <w:name w:val="cuadro 1 Car"/>
    <w:link w:val="cuadro1"/>
    <w:rsid w:val="0081424A"/>
    <w:rPr>
      <w:rFonts w:ascii="Arial" w:eastAsia="Times New Roman" w:hAnsi="Arial" w:cs="Arial"/>
      <w:sz w:val="24"/>
      <w:szCs w:val="24"/>
      <w:lang w:val="es-MX" w:eastAsia="es-CO"/>
    </w:rPr>
  </w:style>
  <w:style w:type="character" w:styleId="Ttulodellibro">
    <w:name w:val="Book Title"/>
    <w:uiPriority w:val="33"/>
    <w:qFormat/>
    <w:rsid w:val="002C72C4"/>
    <w:rPr>
      <w:b/>
      <w:bCs/>
      <w:smallCaps/>
    </w:rPr>
  </w:style>
  <w:style w:type="paragraph" w:customStyle="1" w:styleId="titulo1">
    <w:name w:val="titulo1"/>
    <w:basedOn w:val="Normal"/>
    <w:link w:val="titulo1Car"/>
    <w:qFormat/>
    <w:rsid w:val="002C72C4"/>
    <w:pPr>
      <w:numPr>
        <w:numId w:val="8"/>
      </w:numPr>
      <w:jc w:val="both"/>
    </w:pPr>
    <w:rPr>
      <w:rFonts w:ascii="Arial" w:hAnsi="Arial" w:cs="Arial"/>
      <w:sz w:val="24"/>
      <w:szCs w:val="24"/>
    </w:rPr>
  </w:style>
  <w:style w:type="character" w:customStyle="1" w:styleId="titulo1Car">
    <w:name w:val="titulo1 Car"/>
    <w:link w:val="titulo1"/>
    <w:rsid w:val="002C72C4"/>
    <w:rPr>
      <w:rFonts w:ascii="Arial" w:eastAsia="Times New Roman" w:hAnsi="Arial" w:cs="Arial"/>
      <w:sz w:val="24"/>
      <w:szCs w:val="24"/>
      <w:lang w:eastAsia="es-CO"/>
    </w:rPr>
  </w:style>
  <w:style w:type="character" w:customStyle="1" w:styleId="Ttulo1Car">
    <w:name w:val="Título 1 Car"/>
    <w:basedOn w:val="Fuentedeprrafopredeter"/>
    <w:link w:val="Ttulo1"/>
    <w:uiPriority w:val="9"/>
    <w:rsid w:val="007C07CE"/>
    <w:rPr>
      <w:rFonts w:asciiTheme="majorHAnsi" w:eastAsiaTheme="majorEastAsia" w:hAnsiTheme="majorHAnsi" w:cstheme="majorBidi"/>
      <w:color w:val="2E74B5" w:themeColor="accent1" w:themeShade="BF"/>
      <w:sz w:val="32"/>
      <w:szCs w:val="32"/>
      <w:lang w:eastAsia="es-CO"/>
    </w:rPr>
  </w:style>
  <w:style w:type="paragraph" w:styleId="TtuloTDC">
    <w:name w:val="TOC Heading"/>
    <w:basedOn w:val="Ttulo1"/>
    <w:next w:val="Normal"/>
    <w:uiPriority w:val="39"/>
    <w:unhideWhenUsed/>
    <w:qFormat/>
    <w:rsid w:val="007C07CE"/>
    <w:pPr>
      <w:spacing w:line="259" w:lineRule="auto"/>
      <w:outlineLvl w:val="9"/>
    </w:pPr>
  </w:style>
  <w:style w:type="paragraph" w:customStyle="1" w:styleId="CarCarCarCar">
    <w:name w:val="Car Car Car Car"/>
    <w:basedOn w:val="Normal"/>
    <w:rsid w:val="00612FF7"/>
    <w:pPr>
      <w:spacing w:after="160" w:line="240" w:lineRule="exact"/>
    </w:pPr>
    <w:rPr>
      <w:rFonts w:ascii="Verdana" w:hAnsi="Verdana"/>
      <w:lang w:val="en-US" w:eastAsia="en-US"/>
    </w:rPr>
  </w:style>
  <w:style w:type="character" w:styleId="Textodelmarcadordeposicin">
    <w:name w:val="Placeholder Text"/>
    <w:basedOn w:val="Fuentedeprrafopredeter"/>
    <w:uiPriority w:val="99"/>
    <w:semiHidden/>
    <w:rsid w:val="00937AF0"/>
    <w:rPr>
      <w:color w:val="808080"/>
    </w:rPr>
  </w:style>
  <w:style w:type="paragraph" w:styleId="Descripcin">
    <w:name w:val="caption"/>
    <w:basedOn w:val="Normal"/>
    <w:next w:val="Normal"/>
    <w:uiPriority w:val="35"/>
    <w:unhideWhenUsed/>
    <w:qFormat/>
    <w:rsid w:val="00FD6E7B"/>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343538"/>
    <w:rPr>
      <w:sz w:val="16"/>
      <w:szCs w:val="16"/>
    </w:rPr>
  </w:style>
  <w:style w:type="paragraph" w:styleId="Textocomentario">
    <w:name w:val="annotation text"/>
    <w:basedOn w:val="Normal"/>
    <w:link w:val="TextocomentarioCar"/>
    <w:uiPriority w:val="99"/>
    <w:unhideWhenUsed/>
    <w:rsid w:val="00343538"/>
    <w:pPr>
      <w:spacing w:line="240" w:lineRule="auto"/>
    </w:pPr>
  </w:style>
  <w:style w:type="character" w:customStyle="1" w:styleId="TextocomentarioCar">
    <w:name w:val="Texto comentario Car"/>
    <w:basedOn w:val="Fuentedeprrafopredeter"/>
    <w:link w:val="Textocomentario"/>
    <w:uiPriority w:val="99"/>
    <w:rsid w:val="00343538"/>
    <w:rPr>
      <w:rFonts w:ascii="Calibri" w:eastAsia="Times New Roman" w:hAnsi="Calibri" w:cs="Times New Roman"/>
      <w:sz w:val="20"/>
      <w:szCs w:val="20"/>
      <w:lang w:eastAsia="es-CO"/>
    </w:rPr>
  </w:style>
  <w:style w:type="paragraph" w:styleId="Textodeglobo">
    <w:name w:val="Balloon Text"/>
    <w:basedOn w:val="Normal"/>
    <w:link w:val="TextodegloboCar"/>
    <w:uiPriority w:val="99"/>
    <w:semiHidden/>
    <w:unhideWhenUsed/>
    <w:rsid w:val="003435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538"/>
    <w:rPr>
      <w:rFonts w:ascii="Segoe UI" w:eastAsia="Times New Roman" w:hAnsi="Segoe UI" w:cs="Segoe UI"/>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810E8A"/>
    <w:rPr>
      <w:b/>
      <w:bCs/>
    </w:rPr>
  </w:style>
  <w:style w:type="character" w:customStyle="1" w:styleId="AsuntodelcomentarioCar">
    <w:name w:val="Asunto del comentario Car"/>
    <w:basedOn w:val="TextocomentarioCar"/>
    <w:link w:val="Asuntodelcomentario"/>
    <w:uiPriority w:val="99"/>
    <w:semiHidden/>
    <w:rsid w:val="00810E8A"/>
    <w:rPr>
      <w:rFonts w:ascii="Calibri" w:eastAsia="Times New Roman" w:hAnsi="Calibri" w:cs="Times New Roman"/>
      <w:b/>
      <w:bCs/>
      <w:sz w:val="20"/>
      <w:szCs w:val="20"/>
      <w:lang w:eastAsia="es-CO"/>
    </w:rPr>
  </w:style>
  <w:style w:type="character" w:customStyle="1" w:styleId="Ttulo2Car">
    <w:name w:val="Título 2 Car"/>
    <w:basedOn w:val="Fuentedeprrafopredeter"/>
    <w:link w:val="Ttulo2"/>
    <w:uiPriority w:val="9"/>
    <w:rsid w:val="009A7227"/>
    <w:rPr>
      <w:rFonts w:asciiTheme="majorHAnsi" w:eastAsiaTheme="majorEastAsia" w:hAnsiTheme="majorHAnsi" w:cstheme="majorBidi"/>
      <w:color w:val="2E74B5" w:themeColor="accent1" w:themeShade="BF"/>
      <w:sz w:val="26"/>
      <w:szCs w:val="26"/>
      <w:lang w:val="es-ES_tradnl" w:eastAsia="es-ES"/>
    </w:rPr>
  </w:style>
  <w:style w:type="table" w:styleId="Tablaconcuadrcula">
    <w:name w:val="Table Grid"/>
    <w:basedOn w:val="Tablanormal"/>
    <w:uiPriority w:val="39"/>
    <w:rsid w:val="001A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1C1B"/>
    <w:pPr>
      <w:spacing w:before="100" w:beforeAutospacing="1" w:after="100" w:afterAutospacing="1" w:line="240" w:lineRule="auto"/>
    </w:pPr>
    <w:rPr>
      <w:rFonts w:ascii="Times New Roman" w:eastAsiaTheme="minorEastAsia" w:hAnsi="Times New Roman"/>
      <w:sz w:val="24"/>
      <w:szCs w:val="24"/>
    </w:rPr>
  </w:style>
  <w:style w:type="paragraph" w:customStyle="1" w:styleId="Sinespaciado1">
    <w:name w:val="Sin espaciado1"/>
    <w:basedOn w:val="Normal"/>
    <w:rsid w:val="00F73685"/>
    <w:pPr>
      <w:spacing w:after="0" w:line="240" w:lineRule="auto"/>
    </w:pPr>
    <w:rPr>
      <w:rFonts w:ascii="Segoe UI" w:eastAsiaTheme="minorHAnsi" w:hAnsi="Segoe UI" w:cs="Segoe U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575">
      <w:bodyDiv w:val="1"/>
      <w:marLeft w:val="0"/>
      <w:marRight w:val="0"/>
      <w:marTop w:val="0"/>
      <w:marBottom w:val="0"/>
      <w:divBdr>
        <w:top w:val="none" w:sz="0" w:space="0" w:color="auto"/>
        <w:left w:val="none" w:sz="0" w:space="0" w:color="auto"/>
        <w:bottom w:val="none" w:sz="0" w:space="0" w:color="auto"/>
        <w:right w:val="none" w:sz="0" w:space="0" w:color="auto"/>
      </w:divBdr>
    </w:div>
    <w:div w:id="34549381">
      <w:bodyDiv w:val="1"/>
      <w:marLeft w:val="0"/>
      <w:marRight w:val="0"/>
      <w:marTop w:val="0"/>
      <w:marBottom w:val="0"/>
      <w:divBdr>
        <w:top w:val="none" w:sz="0" w:space="0" w:color="auto"/>
        <w:left w:val="none" w:sz="0" w:space="0" w:color="auto"/>
        <w:bottom w:val="none" w:sz="0" w:space="0" w:color="auto"/>
        <w:right w:val="none" w:sz="0" w:space="0" w:color="auto"/>
      </w:divBdr>
    </w:div>
    <w:div w:id="128717991">
      <w:bodyDiv w:val="1"/>
      <w:marLeft w:val="0"/>
      <w:marRight w:val="0"/>
      <w:marTop w:val="0"/>
      <w:marBottom w:val="0"/>
      <w:divBdr>
        <w:top w:val="none" w:sz="0" w:space="0" w:color="auto"/>
        <w:left w:val="none" w:sz="0" w:space="0" w:color="auto"/>
        <w:bottom w:val="none" w:sz="0" w:space="0" w:color="auto"/>
        <w:right w:val="none" w:sz="0" w:space="0" w:color="auto"/>
      </w:divBdr>
    </w:div>
    <w:div w:id="134221958">
      <w:bodyDiv w:val="1"/>
      <w:marLeft w:val="0"/>
      <w:marRight w:val="0"/>
      <w:marTop w:val="0"/>
      <w:marBottom w:val="0"/>
      <w:divBdr>
        <w:top w:val="none" w:sz="0" w:space="0" w:color="auto"/>
        <w:left w:val="none" w:sz="0" w:space="0" w:color="auto"/>
        <w:bottom w:val="none" w:sz="0" w:space="0" w:color="auto"/>
        <w:right w:val="none" w:sz="0" w:space="0" w:color="auto"/>
      </w:divBdr>
    </w:div>
    <w:div w:id="180897770">
      <w:bodyDiv w:val="1"/>
      <w:marLeft w:val="0"/>
      <w:marRight w:val="0"/>
      <w:marTop w:val="0"/>
      <w:marBottom w:val="0"/>
      <w:divBdr>
        <w:top w:val="none" w:sz="0" w:space="0" w:color="auto"/>
        <w:left w:val="none" w:sz="0" w:space="0" w:color="auto"/>
        <w:bottom w:val="none" w:sz="0" w:space="0" w:color="auto"/>
        <w:right w:val="none" w:sz="0" w:space="0" w:color="auto"/>
      </w:divBdr>
    </w:div>
    <w:div w:id="181208616">
      <w:bodyDiv w:val="1"/>
      <w:marLeft w:val="0"/>
      <w:marRight w:val="0"/>
      <w:marTop w:val="0"/>
      <w:marBottom w:val="0"/>
      <w:divBdr>
        <w:top w:val="none" w:sz="0" w:space="0" w:color="auto"/>
        <w:left w:val="none" w:sz="0" w:space="0" w:color="auto"/>
        <w:bottom w:val="none" w:sz="0" w:space="0" w:color="auto"/>
        <w:right w:val="none" w:sz="0" w:space="0" w:color="auto"/>
      </w:divBdr>
    </w:div>
    <w:div w:id="212234873">
      <w:bodyDiv w:val="1"/>
      <w:marLeft w:val="0"/>
      <w:marRight w:val="0"/>
      <w:marTop w:val="0"/>
      <w:marBottom w:val="0"/>
      <w:divBdr>
        <w:top w:val="none" w:sz="0" w:space="0" w:color="auto"/>
        <w:left w:val="none" w:sz="0" w:space="0" w:color="auto"/>
        <w:bottom w:val="none" w:sz="0" w:space="0" w:color="auto"/>
        <w:right w:val="none" w:sz="0" w:space="0" w:color="auto"/>
      </w:divBdr>
    </w:div>
    <w:div w:id="224340653">
      <w:bodyDiv w:val="1"/>
      <w:marLeft w:val="0"/>
      <w:marRight w:val="0"/>
      <w:marTop w:val="0"/>
      <w:marBottom w:val="0"/>
      <w:divBdr>
        <w:top w:val="none" w:sz="0" w:space="0" w:color="auto"/>
        <w:left w:val="none" w:sz="0" w:space="0" w:color="auto"/>
        <w:bottom w:val="none" w:sz="0" w:space="0" w:color="auto"/>
        <w:right w:val="none" w:sz="0" w:space="0" w:color="auto"/>
      </w:divBdr>
    </w:div>
    <w:div w:id="238829303">
      <w:bodyDiv w:val="1"/>
      <w:marLeft w:val="0"/>
      <w:marRight w:val="0"/>
      <w:marTop w:val="0"/>
      <w:marBottom w:val="0"/>
      <w:divBdr>
        <w:top w:val="none" w:sz="0" w:space="0" w:color="auto"/>
        <w:left w:val="none" w:sz="0" w:space="0" w:color="auto"/>
        <w:bottom w:val="none" w:sz="0" w:space="0" w:color="auto"/>
        <w:right w:val="none" w:sz="0" w:space="0" w:color="auto"/>
      </w:divBdr>
    </w:div>
    <w:div w:id="240801368">
      <w:bodyDiv w:val="1"/>
      <w:marLeft w:val="0"/>
      <w:marRight w:val="0"/>
      <w:marTop w:val="0"/>
      <w:marBottom w:val="0"/>
      <w:divBdr>
        <w:top w:val="none" w:sz="0" w:space="0" w:color="auto"/>
        <w:left w:val="none" w:sz="0" w:space="0" w:color="auto"/>
        <w:bottom w:val="none" w:sz="0" w:space="0" w:color="auto"/>
        <w:right w:val="none" w:sz="0" w:space="0" w:color="auto"/>
      </w:divBdr>
    </w:div>
    <w:div w:id="244806154">
      <w:bodyDiv w:val="1"/>
      <w:marLeft w:val="0"/>
      <w:marRight w:val="0"/>
      <w:marTop w:val="0"/>
      <w:marBottom w:val="0"/>
      <w:divBdr>
        <w:top w:val="none" w:sz="0" w:space="0" w:color="auto"/>
        <w:left w:val="none" w:sz="0" w:space="0" w:color="auto"/>
        <w:bottom w:val="none" w:sz="0" w:space="0" w:color="auto"/>
        <w:right w:val="none" w:sz="0" w:space="0" w:color="auto"/>
      </w:divBdr>
    </w:div>
    <w:div w:id="253168850">
      <w:bodyDiv w:val="1"/>
      <w:marLeft w:val="0"/>
      <w:marRight w:val="0"/>
      <w:marTop w:val="0"/>
      <w:marBottom w:val="0"/>
      <w:divBdr>
        <w:top w:val="none" w:sz="0" w:space="0" w:color="auto"/>
        <w:left w:val="none" w:sz="0" w:space="0" w:color="auto"/>
        <w:bottom w:val="none" w:sz="0" w:space="0" w:color="auto"/>
        <w:right w:val="none" w:sz="0" w:space="0" w:color="auto"/>
      </w:divBdr>
    </w:div>
    <w:div w:id="292099151">
      <w:bodyDiv w:val="1"/>
      <w:marLeft w:val="0"/>
      <w:marRight w:val="0"/>
      <w:marTop w:val="0"/>
      <w:marBottom w:val="0"/>
      <w:divBdr>
        <w:top w:val="none" w:sz="0" w:space="0" w:color="auto"/>
        <w:left w:val="none" w:sz="0" w:space="0" w:color="auto"/>
        <w:bottom w:val="none" w:sz="0" w:space="0" w:color="auto"/>
        <w:right w:val="none" w:sz="0" w:space="0" w:color="auto"/>
      </w:divBdr>
    </w:div>
    <w:div w:id="292758850">
      <w:bodyDiv w:val="1"/>
      <w:marLeft w:val="0"/>
      <w:marRight w:val="0"/>
      <w:marTop w:val="0"/>
      <w:marBottom w:val="0"/>
      <w:divBdr>
        <w:top w:val="none" w:sz="0" w:space="0" w:color="auto"/>
        <w:left w:val="none" w:sz="0" w:space="0" w:color="auto"/>
        <w:bottom w:val="none" w:sz="0" w:space="0" w:color="auto"/>
        <w:right w:val="none" w:sz="0" w:space="0" w:color="auto"/>
      </w:divBdr>
    </w:div>
    <w:div w:id="362175649">
      <w:bodyDiv w:val="1"/>
      <w:marLeft w:val="0"/>
      <w:marRight w:val="0"/>
      <w:marTop w:val="0"/>
      <w:marBottom w:val="0"/>
      <w:divBdr>
        <w:top w:val="none" w:sz="0" w:space="0" w:color="auto"/>
        <w:left w:val="none" w:sz="0" w:space="0" w:color="auto"/>
        <w:bottom w:val="none" w:sz="0" w:space="0" w:color="auto"/>
        <w:right w:val="none" w:sz="0" w:space="0" w:color="auto"/>
      </w:divBdr>
    </w:div>
    <w:div w:id="391464601">
      <w:bodyDiv w:val="1"/>
      <w:marLeft w:val="0"/>
      <w:marRight w:val="0"/>
      <w:marTop w:val="0"/>
      <w:marBottom w:val="0"/>
      <w:divBdr>
        <w:top w:val="none" w:sz="0" w:space="0" w:color="auto"/>
        <w:left w:val="none" w:sz="0" w:space="0" w:color="auto"/>
        <w:bottom w:val="none" w:sz="0" w:space="0" w:color="auto"/>
        <w:right w:val="none" w:sz="0" w:space="0" w:color="auto"/>
      </w:divBdr>
    </w:div>
    <w:div w:id="405610141">
      <w:bodyDiv w:val="1"/>
      <w:marLeft w:val="0"/>
      <w:marRight w:val="0"/>
      <w:marTop w:val="0"/>
      <w:marBottom w:val="0"/>
      <w:divBdr>
        <w:top w:val="none" w:sz="0" w:space="0" w:color="auto"/>
        <w:left w:val="none" w:sz="0" w:space="0" w:color="auto"/>
        <w:bottom w:val="none" w:sz="0" w:space="0" w:color="auto"/>
        <w:right w:val="none" w:sz="0" w:space="0" w:color="auto"/>
      </w:divBdr>
    </w:div>
    <w:div w:id="411853396">
      <w:bodyDiv w:val="1"/>
      <w:marLeft w:val="0"/>
      <w:marRight w:val="0"/>
      <w:marTop w:val="0"/>
      <w:marBottom w:val="0"/>
      <w:divBdr>
        <w:top w:val="none" w:sz="0" w:space="0" w:color="auto"/>
        <w:left w:val="none" w:sz="0" w:space="0" w:color="auto"/>
        <w:bottom w:val="none" w:sz="0" w:space="0" w:color="auto"/>
        <w:right w:val="none" w:sz="0" w:space="0" w:color="auto"/>
      </w:divBdr>
    </w:div>
    <w:div w:id="424690428">
      <w:bodyDiv w:val="1"/>
      <w:marLeft w:val="0"/>
      <w:marRight w:val="0"/>
      <w:marTop w:val="0"/>
      <w:marBottom w:val="0"/>
      <w:divBdr>
        <w:top w:val="none" w:sz="0" w:space="0" w:color="auto"/>
        <w:left w:val="none" w:sz="0" w:space="0" w:color="auto"/>
        <w:bottom w:val="none" w:sz="0" w:space="0" w:color="auto"/>
        <w:right w:val="none" w:sz="0" w:space="0" w:color="auto"/>
      </w:divBdr>
    </w:div>
    <w:div w:id="429130866">
      <w:bodyDiv w:val="1"/>
      <w:marLeft w:val="0"/>
      <w:marRight w:val="0"/>
      <w:marTop w:val="0"/>
      <w:marBottom w:val="0"/>
      <w:divBdr>
        <w:top w:val="none" w:sz="0" w:space="0" w:color="auto"/>
        <w:left w:val="none" w:sz="0" w:space="0" w:color="auto"/>
        <w:bottom w:val="none" w:sz="0" w:space="0" w:color="auto"/>
        <w:right w:val="none" w:sz="0" w:space="0" w:color="auto"/>
      </w:divBdr>
    </w:div>
    <w:div w:id="446780397">
      <w:bodyDiv w:val="1"/>
      <w:marLeft w:val="0"/>
      <w:marRight w:val="0"/>
      <w:marTop w:val="0"/>
      <w:marBottom w:val="0"/>
      <w:divBdr>
        <w:top w:val="none" w:sz="0" w:space="0" w:color="auto"/>
        <w:left w:val="none" w:sz="0" w:space="0" w:color="auto"/>
        <w:bottom w:val="none" w:sz="0" w:space="0" w:color="auto"/>
        <w:right w:val="none" w:sz="0" w:space="0" w:color="auto"/>
      </w:divBdr>
    </w:div>
    <w:div w:id="459881432">
      <w:bodyDiv w:val="1"/>
      <w:marLeft w:val="0"/>
      <w:marRight w:val="0"/>
      <w:marTop w:val="0"/>
      <w:marBottom w:val="0"/>
      <w:divBdr>
        <w:top w:val="none" w:sz="0" w:space="0" w:color="auto"/>
        <w:left w:val="none" w:sz="0" w:space="0" w:color="auto"/>
        <w:bottom w:val="none" w:sz="0" w:space="0" w:color="auto"/>
        <w:right w:val="none" w:sz="0" w:space="0" w:color="auto"/>
      </w:divBdr>
    </w:div>
    <w:div w:id="528495910">
      <w:bodyDiv w:val="1"/>
      <w:marLeft w:val="0"/>
      <w:marRight w:val="0"/>
      <w:marTop w:val="0"/>
      <w:marBottom w:val="0"/>
      <w:divBdr>
        <w:top w:val="none" w:sz="0" w:space="0" w:color="auto"/>
        <w:left w:val="none" w:sz="0" w:space="0" w:color="auto"/>
        <w:bottom w:val="none" w:sz="0" w:space="0" w:color="auto"/>
        <w:right w:val="none" w:sz="0" w:space="0" w:color="auto"/>
      </w:divBdr>
    </w:div>
    <w:div w:id="531458423">
      <w:bodyDiv w:val="1"/>
      <w:marLeft w:val="0"/>
      <w:marRight w:val="0"/>
      <w:marTop w:val="0"/>
      <w:marBottom w:val="0"/>
      <w:divBdr>
        <w:top w:val="none" w:sz="0" w:space="0" w:color="auto"/>
        <w:left w:val="none" w:sz="0" w:space="0" w:color="auto"/>
        <w:bottom w:val="none" w:sz="0" w:space="0" w:color="auto"/>
        <w:right w:val="none" w:sz="0" w:space="0" w:color="auto"/>
      </w:divBdr>
    </w:div>
    <w:div w:id="534465101">
      <w:bodyDiv w:val="1"/>
      <w:marLeft w:val="0"/>
      <w:marRight w:val="0"/>
      <w:marTop w:val="0"/>
      <w:marBottom w:val="0"/>
      <w:divBdr>
        <w:top w:val="none" w:sz="0" w:space="0" w:color="auto"/>
        <w:left w:val="none" w:sz="0" w:space="0" w:color="auto"/>
        <w:bottom w:val="none" w:sz="0" w:space="0" w:color="auto"/>
        <w:right w:val="none" w:sz="0" w:space="0" w:color="auto"/>
      </w:divBdr>
    </w:div>
    <w:div w:id="546338223">
      <w:bodyDiv w:val="1"/>
      <w:marLeft w:val="0"/>
      <w:marRight w:val="0"/>
      <w:marTop w:val="0"/>
      <w:marBottom w:val="0"/>
      <w:divBdr>
        <w:top w:val="none" w:sz="0" w:space="0" w:color="auto"/>
        <w:left w:val="none" w:sz="0" w:space="0" w:color="auto"/>
        <w:bottom w:val="none" w:sz="0" w:space="0" w:color="auto"/>
        <w:right w:val="none" w:sz="0" w:space="0" w:color="auto"/>
      </w:divBdr>
    </w:div>
    <w:div w:id="585262192">
      <w:bodyDiv w:val="1"/>
      <w:marLeft w:val="0"/>
      <w:marRight w:val="0"/>
      <w:marTop w:val="0"/>
      <w:marBottom w:val="0"/>
      <w:divBdr>
        <w:top w:val="none" w:sz="0" w:space="0" w:color="auto"/>
        <w:left w:val="none" w:sz="0" w:space="0" w:color="auto"/>
        <w:bottom w:val="none" w:sz="0" w:space="0" w:color="auto"/>
        <w:right w:val="none" w:sz="0" w:space="0" w:color="auto"/>
      </w:divBdr>
    </w:div>
    <w:div w:id="616452530">
      <w:bodyDiv w:val="1"/>
      <w:marLeft w:val="0"/>
      <w:marRight w:val="0"/>
      <w:marTop w:val="0"/>
      <w:marBottom w:val="0"/>
      <w:divBdr>
        <w:top w:val="none" w:sz="0" w:space="0" w:color="auto"/>
        <w:left w:val="none" w:sz="0" w:space="0" w:color="auto"/>
        <w:bottom w:val="none" w:sz="0" w:space="0" w:color="auto"/>
        <w:right w:val="none" w:sz="0" w:space="0" w:color="auto"/>
      </w:divBdr>
    </w:div>
    <w:div w:id="622003879">
      <w:bodyDiv w:val="1"/>
      <w:marLeft w:val="0"/>
      <w:marRight w:val="0"/>
      <w:marTop w:val="0"/>
      <w:marBottom w:val="0"/>
      <w:divBdr>
        <w:top w:val="none" w:sz="0" w:space="0" w:color="auto"/>
        <w:left w:val="none" w:sz="0" w:space="0" w:color="auto"/>
        <w:bottom w:val="none" w:sz="0" w:space="0" w:color="auto"/>
        <w:right w:val="none" w:sz="0" w:space="0" w:color="auto"/>
      </w:divBdr>
    </w:div>
    <w:div w:id="631903753">
      <w:bodyDiv w:val="1"/>
      <w:marLeft w:val="0"/>
      <w:marRight w:val="0"/>
      <w:marTop w:val="0"/>
      <w:marBottom w:val="0"/>
      <w:divBdr>
        <w:top w:val="none" w:sz="0" w:space="0" w:color="auto"/>
        <w:left w:val="none" w:sz="0" w:space="0" w:color="auto"/>
        <w:bottom w:val="none" w:sz="0" w:space="0" w:color="auto"/>
        <w:right w:val="none" w:sz="0" w:space="0" w:color="auto"/>
      </w:divBdr>
    </w:div>
    <w:div w:id="632756877">
      <w:bodyDiv w:val="1"/>
      <w:marLeft w:val="0"/>
      <w:marRight w:val="0"/>
      <w:marTop w:val="0"/>
      <w:marBottom w:val="0"/>
      <w:divBdr>
        <w:top w:val="none" w:sz="0" w:space="0" w:color="auto"/>
        <w:left w:val="none" w:sz="0" w:space="0" w:color="auto"/>
        <w:bottom w:val="none" w:sz="0" w:space="0" w:color="auto"/>
        <w:right w:val="none" w:sz="0" w:space="0" w:color="auto"/>
      </w:divBdr>
    </w:div>
    <w:div w:id="661814983">
      <w:bodyDiv w:val="1"/>
      <w:marLeft w:val="0"/>
      <w:marRight w:val="0"/>
      <w:marTop w:val="0"/>
      <w:marBottom w:val="0"/>
      <w:divBdr>
        <w:top w:val="none" w:sz="0" w:space="0" w:color="auto"/>
        <w:left w:val="none" w:sz="0" w:space="0" w:color="auto"/>
        <w:bottom w:val="none" w:sz="0" w:space="0" w:color="auto"/>
        <w:right w:val="none" w:sz="0" w:space="0" w:color="auto"/>
      </w:divBdr>
    </w:div>
    <w:div w:id="705911451">
      <w:bodyDiv w:val="1"/>
      <w:marLeft w:val="0"/>
      <w:marRight w:val="0"/>
      <w:marTop w:val="0"/>
      <w:marBottom w:val="0"/>
      <w:divBdr>
        <w:top w:val="none" w:sz="0" w:space="0" w:color="auto"/>
        <w:left w:val="none" w:sz="0" w:space="0" w:color="auto"/>
        <w:bottom w:val="none" w:sz="0" w:space="0" w:color="auto"/>
        <w:right w:val="none" w:sz="0" w:space="0" w:color="auto"/>
      </w:divBdr>
    </w:div>
    <w:div w:id="741099437">
      <w:bodyDiv w:val="1"/>
      <w:marLeft w:val="0"/>
      <w:marRight w:val="0"/>
      <w:marTop w:val="0"/>
      <w:marBottom w:val="0"/>
      <w:divBdr>
        <w:top w:val="none" w:sz="0" w:space="0" w:color="auto"/>
        <w:left w:val="none" w:sz="0" w:space="0" w:color="auto"/>
        <w:bottom w:val="none" w:sz="0" w:space="0" w:color="auto"/>
        <w:right w:val="none" w:sz="0" w:space="0" w:color="auto"/>
      </w:divBdr>
    </w:div>
    <w:div w:id="767896559">
      <w:bodyDiv w:val="1"/>
      <w:marLeft w:val="0"/>
      <w:marRight w:val="0"/>
      <w:marTop w:val="0"/>
      <w:marBottom w:val="0"/>
      <w:divBdr>
        <w:top w:val="none" w:sz="0" w:space="0" w:color="auto"/>
        <w:left w:val="none" w:sz="0" w:space="0" w:color="auto"/>
        <w:bottom w:val="none" w:sz="0" w:space="0" w:color="auto"/>
        <w:right w:val="none" w:sz="0" w:space="0" w:color="auto"/>
      </w:divBdr>
    </w:div>
    <w:div w:id="835727136">
      <w:bodyDiv w:val="1"/>
      <w:marLeft w:val="0"/>
      <w:marRight w:val="0"/>
      <w:marTop w:val="0"/>
      <w:marBottom w:val="0"/>
      <w:divBdr>
        <w:top w:val="none" w:sz="0" w:space="0" w:color="auto"/>
        <w:left w:val="none" w:sz="0" w:space="0" w:color="auto"/>
        <w:bottom w:val="none" w:sz="0" w:space="0" w:color="auto"/>
        <w:right w:val="none" w:sz="0" w:space="0" w:color="auto"/>
      </w:divBdr>
    </w:div>
    <w:div w:id="865214386">
      <w:bodyDiv w:val="1"/>
      <w:marLeft w:val="0"/>
      <w:marRight w:val="0"/>
      <w:marTop w:val="0"/>
      <w:marBottom w:val="0"/>
      <w:divBdr>
        <w:top w:val="none" w:sz="0" w:space="0" w:color="auto"/>
        <w:left w:val="none" w:sz="0" w:space="0" w:color="auto"/>
        <w:bottom w:val="none" w:sz="0" w:space="0" w:color="auto"/>
        <w:right w:val="none" w:sz="0" w:space="0" w:color="auto"/>
      </w:divBdr>
    </w:div>
    <w:div w:id="886180788">
      <w:bodyDiv w:val="1"/>
      <w:marLeft w:val="0"/>
      <w:marRight w:val="0"/>
      <w:marTop w:val="0"/>
      <w:marBottom w:val="0"/>
      <w:divBdr>
        <w:top w:val="none" w:sz="0" w:space="0" w:color="auto"/>
        <w:left w:val="none" w:sz="0" w:space="0" w:color="auto"/>
        <w:bottom w:val="none" w:sz="0" w:space="0" w:color="auto"/>
        <w:right w:val="none" w:sz="0" w:space="0" w:color="auto"/>
      </w:divBdr>
    </w:div>
    <w:div w:id="904412505">
      <w:bodyDiv w:val="1"/>
      <w:marLeft w:val="0"/>
      <w:marRight w:val="0"/>
      <w:marTop w:val="0"/>
      <w:marBottom w:val="0"/>
      <w:divBdr>
        <w:top w:val="none" w:sz="0" w:space="0" w:color="auto"/>
        <w:left w:val="none" w:sz="0" w:space="0" w:color="auto"/>
        <w:bottom w:val="none" w:sz="0" w:space="0" w:color="auto"/>
        <w:right w:val="none" w:sz="0" w:space="0" w:color="auto"/>
      </w:divBdr>
    </w:div>
    <w:div w:id="906379673">
      <w:bodyDiv w:val="1"/>
      <w:marLeft w:val="0"/>
      <w:marRight w:val="0"/>
      <w:marTop w:val="0"/>
      <w:marBottom w:val="0"/>
      <w:divBdr>
        <w:top w:val="none" w:sz="0" w:space="0" w:color="auto"/>
        <w:left w:val="none" w:sz="0" w:space="0" w:color="auto"/>
        <w:bottom w:val="none" w:sz="0" w:space="0" w:color="auto"/>
        <w:right w:val="none" w:sz="0" w:space="0" w:color="auto"/>
      </w:divBdr>
    </w:div>
    <w:div w:id="961615772">
      <w:bodyDiv w:val="1"/>
      <w:marLeft w:val="0"/>
      <w:marRight w:val="0"/>
      <w:marTop w:val="0"/>
      <w:marBottom w:val="0"/>
      <w:divBdr>
        <w:top w:val="none" w:sz="0" w:space="0" w:color="auto"/>
        <w:left w:val="none" w:sz="0" w:space="0" w:color="auto"/>
        <w:bottom w:val="none" w:sz="0" w:space="0" w:color="auto"/>
        <w:right w:val="none" w:sz="0" w:space="0" w:color="auto"/>
      </w:divBdr>
    </w:div>
    <w:div w:id="982343659">
      <w:bodyDiv w:val="1"/>
      <w:marLeft w:val="0"/>
      <w:marRight w:val="0"/>
      <w:marTop w:val="0"/>
      <w:marBottom w:val="0"/>
      <w:divBdr>
        <w:top w:val="none" w:sz="0" w:space="0" w:color="auto"/>
        <w:left w:val="none" w:sz="0" w:space="0" w:color="auto"/>
        <w:bottom w:val="none" w:sz="0" w:space="0" w:color="auto"/>
        <w:right w:val="none" w:sz="0" w:space="0" w:color="auto"/>
      </w:divBdr>
    </w:div>
    <w:div w:id="992753199">
      <w:bodyDiv w:val="1"/>
      <w:marLeft w:val="0"/>
      <w:marRight w:val="0"/>
      <w:marTop w:val="0"/>
      <w:marBottom w:val="0"/>
      <w:divBdr>
        <w:top w:val="none" w:sz="0" w:space="0" w:color="auto"/>
        <w:left w:val="none" w:sz="0" w:space="0" w:color="auto"/>
        <w:bottom w:val="none" w:sz="0" w:space="0" w:color="auto"/>
        <w:right w:val="none" w:sz="0" w:space="0" w:color="auto"/>
      </w:divBdr>
    </w:div>
    <w:div w:id="999043652">
      <w:bodyDiv w:val="1"/>
      <w:marLeft w:val="0"/>
      <w:marRight w:val="0"/>
      <w:marTop w:val="0"/>
      <w:marBottom w:val="0"/>
      <w:divBdr>
        <w:top w:val="none" w:sz="0" w:space="0" w:color="auto"/>
        <w:left w:val="none" w:sz="0" w:space="0" w:color="auto"/>
        <w:bottom w:val="none" w:sz="0" w:space="0" w:color="auto"/>
        <w:right w:val="none" w:sz="0" w:space="0" w:color="auto"/>
      </w:divBdr>
    </w:div>
    <w:div w:id="1005985335">
      <w:bodyDiv w:val="1"/>
      <w:marLeft w:val="0"/>
      <w:marRight w:val="0"/>
      <w:marTop w:val="0"/>
      <w:marBottom w:val="0"/>
      <w:divBdr>
        <w:top w:val="none" w:sz="0" w:space="0" w:color="auto"/>
        <w:left w:val="none" w:sz="0" w:space="0" w:color="auto"/>
        <w:bottom w:val="none" w:sz="0" w:space="0" w:color="auto"/>
        <w:right w:val="none" w:sz="0" w:space="0" w:color="auto"/>
      </w:divBdr>
    </w:div>
    <w:div w:id="1009260955">
      <w:bodyDiv w:val="1"/>
      <w:marLeft w:val="0"/>
      <w:marRight w:val="0"/>
      <w:marTop w:val="0"/>
      <w:marBottom w:val="0"/>
      <w:divBdr>
        <w:top w:val="none" w:sz="0" w:space="0" w:color="auto"/>
        <w:left w:val="none" w:sz="0" w:space="0" w:color="auto"/>
        <w:bottom w:val="none" w:sz="0" w:space="0" w:color="auto"/>
        <w:right w:val="none" w:sz="0" w:space="0" w:color="auto"/>
      </w:divBdr>
    </w:div>
    <w:div w:id="1046947448">
      <w:bodyDiv w:val="1"/>
      <w:marLeft w:val="0"/>
      <w:marRight w:val="0"/>
      <w:marTop w:val="0"/>
      <w:marBottom w:val="0"/>
      <w:divBdr>
        <w:top w:val="none" w:sz="0" w:space="0" w:color="auto"/>
        <w:left w:val="none" w:sz="0" w:space="0" w:color="auto"/>
        <w:bottom w:val="none" w:sz="0" w:space="0" w:color="auto"/>
        <w:right w:val="none" w:sz="0" w:space="0" w:color="auto"/>
      </w:divBdr>
    </w:div>
    <w:div w:id="1050492175">
      <w:bodyDiv w:val="1"/>
      <w:marLeft w:val="0"/>
      <w:marRight w:val="0"/>
      <w:marTop w:val="0"/>
      <w:marBottom w:val="0"/>
      <w:divBdr>
        <w:top w:val="none" w:sz="0" w:space="0" w:color="auto"/>
        <w:left w:val="none" w:sz="0" w:space="0" w:color="auto"/>
        <w:bottom w:val="none" w:sz="0" w:space="0" w:color="auto"/>
        <w:right w:val="none" w:sz="0" w:space="0" w:color="auto"/>
      </w:divBdr>
    </w:div>
    <w:div w:id="1061103641">
      <w:bodyDiv w:val="1"/>
      <w:marLeft w:val="0"/>
      <w:marRight w:val="0"/>
      <w:marTop w:val="0"/>
      <w:marBottom w:val="0"/>
      <w:divBdr>
        <w:top w:val="none" w:sz="0" w:space="0" w:color="auto"/>
        <w:left w:val="none" w:sz="0" w:space="0" w:color="auto"/>
        <w:bottom w:val="none" w:sz="0" w:space="0" w:color="auto"/>
        <w:right w:val="none" w:sz="0" w:space="0" w:color="auto"/>
      </w:divBdr>
    </w:div>
    <w:div w:id="1096056184">
      <w:bodyDiv w:val="1"/>
      <w:marLeft w:val="0"/>
      <w:marRight w:val="0"/>
      <w:marTop w:val="0"/>
      <w:marBottom w:val="0"/>
      <w:divBdr>
        <w:top w:val="none" w:sz="0" w:space="0" w:color="auto"/>
        <w:left w:val="none" w:sz="0" w:space="0" w:color="auto"/>
        <w:bottom w:val="none" w:sz="0" w:space="0" w:color="auto"/>
        <w:right w:val="none" w:sz="0" w:space="0" w:color="auto"/>
      </w:divBdr>
    </w:div>
    <w:div w:id="1182469614">
      <w:bodyDiv w:val="1"/>
      <w:marLeft w:val="0"/>
      <w:marRight w:val="0"/>
      <w:marTop w:val="0"/>
      <w:marBottom w:val="0"/>
      <w:divBdr>
        <w:top w:val="none" w:sz="0" w:space="0" w:color="auto"/>
        <w:left w:val="none" w:sz="0" w:space="0" w:color="auto"/>
        <w:bottom w:val="none" w:sz="0" w:space="0" w:color="auto"/>
        <w:right w:val="none" w:sz="0" w:space="0" w:color="auto"/>
      </w:divBdr>
    </w:div>
    <w:div w:id="1184513871">
      <w:bodyDiv w:val="1"/>
      <w:marLeft w:val="0"/>
      <w:marRight w:val="0"/>
      <w:marTop w:val="0"/>
      <w:marBottom w:val="0"/>
      <w:divBdr>
        <w:top w:val="none" w:sz="0" w:space="0" w:color="auto"/>
        <w:left w:val="none" w:sz="0" w:space="0" w:color="auto"/>
        <w:bottom w:val="none" w:sz="0" w:space="0" w:color="auto"/>
        <w:right w:val="none" w:sz="0" w:space="0" w:color="auto"/>
      </w:divBdr>
    </w:div>
    <w:div w:id="1204295617">
      <w:bodyDiv w:val="1"/>
      <w:marLeft w:val="0"/>
      <w:marRight w:val="0"/>
      <w:marTop w:val="0"/>
      <w:marBottom w:val="0"/>
      <w:divBdr>
        <w:top w:val="none" w:sz="0" w:space="0" w:color="auto"/>
        <w:left w:val="none" w:sz="0" w:space="0" w:color="auto"/>
        <w:bottom w:val="none" w:sz="0" w:space="0" w:color="auto"/>
        <w:right w:val="none" w:sz="0" w:space="0" w:color="auto"/>
      </w:divBdr>
    </w:div>
    <w:div w:id="1204950228">
      <w:bodyDiv w:val="1"/>
      <w:marLeft w:val="0"/>
      <w:marRight w:val="0"/>
      <w:marTop w:val="0"/>
      <w:marBottom w:val="0"/>
      <w:divBdr>
        <w:top w:val="none" w:sz="0" w:space="0" w:color="auto"/>
        <w:left w:val="none" w:sz="0" w:space="0" w:color="auto"/>
        <w:bottom w:val="none" w:sz="0" w:space="0" w:color="auto"/>
        <w:right w:val="none" w:sz="0" w:space="0" w:color="auto"/>
      </w:divBdr>
    </w:div>
    <w:div w:id="1209755149">
      <w:bodyDiv w:val="1"/>
      <w:marLeft w:val="0"/>
      <w:marRight w:val="0"/>
      <w:marTop w:val="0"/>
      <w:marBottom w:val="0"/>
      <w:divBdr>
        <w:top w:val="none" w:sz="0" w:space="0" w:color="auto"/>
        <w:left w:val="none" w:sz="0" w:space="0" w:color="auto"/>
        <w:bottom w:val="none" w:sz="0" w:space="0" w:color="auto"/>
        <w:right w:val="none" w:sz="0" w:space="0" w:color="auto"/>
      </w:divBdr>
    </w:div>
    <w:div w:id="1218394606">
      <w:bodyDiv w:val="1"/>
      <w:marLeft w:val="0"/>
      <w:marRight w:val="0"/>
      <w:marTop w:val="0"/>
      <w:marBottom w:val="0"/>
      <w:divBdr>
        <w:top w:val="none" w:sz="0" w:space="0" w:color="auto"/>
        <w:left w:val="none" w:sz="0" w:space="0" w:color="auto"/>
        <w:bottom w:val="none" w:sz="0" w:space="0" w:color="auto"/>
        <w:right w:val="none" w:sz="0" w:space="0" w:color="auto"/>
      </w:divBdr>
    </w:div>
    <w:div w:id="1223829665">
      <w:bodyDiv w:val="1"/>
      <w:marLeft w:val="0"/>
      <w:marRight w:val="0"/>
      <w:marTop w:val="0"/>
      <w:marBottom w:val="0"/>
      <w:divBdr>
        <w:top w:val="none" w:sz="0" w:space="0" w:color="auto"/>
        <w:left w:val="none" w:sz="0" w:space="0" w:color="auto"/>
        <w:bottom w:val="none" w:sz="0" w:space="0" w:color="auto"/>
        <w:right w:val="none" w:sz="0" w:space="0" w:color="auto"/>
      </w:divBdr>
    </w:div>
    <w:div w:id="1230920007">
      <w:bodyDiv w:val="1"/>
      <w:marLeft w:val="0"/>
      <w:marRight w:val="0"/>
      <w:marTop w:val="0"/>
      <w:marBottom w:val="0"/>
      <w:divBdr>
        <w:top w:val="none" w:sz="0" w:space="0" w:color="auto"/>
        <w:left w:val="none" w:sz="0" w:space="0" w:color="auto"/>
        <w:bottom w:val="none" w:sz="0" w:space="0" w:color="auto"/>
        <w:right w:val="none" w:sz="0" w:space="0" w:color="auto"/>
      </w:divBdr>
    </w:div>
    <w:div w:id="1250698674">
      <w:bodyDiv w:val="1"/>
      <w:marLeft w:val="0"/>
      <w:marRight w:val="0"/>
      <w:marTop w:val="0"/>
      <w:marBottom w:val="0"/>
      <w:divBdr>
        <w:top w:val="none" w:sz="0" w:space="0" w:color="auto"/>
        <w:left w:val="none" w:sz="0" w:space="0" w:color="auto"/>
        <w:bottom w:val="none" w:sz="0" w:space="0" w:color="auto"/>
        <w:right w:val="none" w:sz="0" w:space="0" w:color="auto"/>
      </w:divBdr>
    </w:div>
    <w:div w:id="1281839152">
      <w:bodyDiv w:val="1"/>
      <w:marLeft w:val="0"/>
      <w:marRight w:val="0"/>
      <w:marTop w:val="0"/>
      <w:marBottom w:val="0"/>
      <w:divBdr>
        <w:top w:val="none" w:sz="0" w:space="0" w:color="auto"/>
        <w:left w:val="none" w:sz="0" w:space="0" w:color="auto"/>
        <w:bottom w:val="none" w:sz="0" w:space="0" w:color="auto"/>
        <w:right w:val="none" w:sz="0" w:space="0" w:color="auto"/>
      </w:divBdr>
    </w:div>
    <w:div w:id="1333724431">
      <w:bodyDiv w:val="1"/>
      <w:marLeft w:val="0"/>
      <w:marRight w:val="0"/>
      <w:marTop w:val="0"/>
      <w:marBottom w:val="0"/>
      <w:divBdr>
        <w:top w:val="none" w:sz="0" w:space="0" w:color="auto"/>
        <w:left w:val="none" w:sz="0" w:space="0" w:color="auto"/>
        <w:bottom w:val="none" w:sz="0" w:space="0" w:color="auto"/>
        <w:right w:val="none" w:sz="0" w:space="0" w:color="auto"/>
      </w:divBdr>
    </w:div>
    <w:div w:id="1341396826">
      <w:bodyDiv w:val="1"/>
      <w:marLeft w:val="0"/>
      <w:marRight w:val="0"/>
      <w:marTop w:val="0"/>
      <w:marBottom w:val="0"/>
      <w:divBdr>
        <w:top w:val="none" w:sz="0" w:space="0" w:color="auto"/>
        <w:left w:val="none" w:sz="0" w:space="0" w:color="auto"/>
        <w:bottom w:val="none" w:sz="0" w:space="0" w:color="auto"/>
        <w:right w:val="none" w:sz="0" w:space="0" w:color="auto"/>
      </w:divBdr>
    </w:div>
    <w:div w:id="1358460051">
      <w:bodyDiv w:val="1"/>
      <w:marLeft w:val="0"/>
      <w:marRight w:val="0"/>
      <w:marTop w:val="0"/>
      <w:marBottom w:val="0"/>
      <w:divBdr>
        <w:top w:val="none" w:sz="0" w:space="0" w:color="auto"/>
        <w:left w:val="none" w:sz="0" w:space="0" w:color="auto"/>
        <w:bottom w:val="none" w:sz="0" w:space="0" w:color="auto"/>
        <w:right w:val="none" w:sz="0" w:space="0" w:color="auto"/>
      </w:divBdr>
    </w:div>
    <w:div w:id="1381594176">
      <w:bodyDiv w:val="1"/>
      <w:marLeft w:val="0"/>
      <w:marRight w:val="0"/>
      <w:marTop w:val="0"/>
      <w:marBottom w:val="0"/>
      <w:divBdr>
        <w:top w:val="none" w:sz="0" w:space="0" w:color="auto"/>
        <w:left w:val="none" w:sz="0" w:space="0" w:color="auto"/>
        <w:bottom w:val="none" w:sz="0" w:space="0" w:color="auto"/>
        <w:right w:val="none" w:sz="0" w:space="0" w:color="auto"/>
      </w:divBdr>
    </w:div>
    <w:div w:id="1382943403">
      <w:bodyDiv w:val="1"/>
      <w:marLeft w:val="0"/>
      <w:marRight w:val="0"/>
      <w:marTop w:val="0"/>
      <w:marBottom w:val="0"/>
      <w:divBdr>
        <w:top w:val="none" w:sz="0" w:space="0" w:color="auto"/>
        <w:left w:val="none" w:sz="0" w:space="0" w:color="auto"/>
        <w:bottom w:val="none" w:sz="0" w:space="0" w:color="auto"/>
        <w:right w:val="none" w:sz="0" w:space="0" w:color="auto"/>
      </w:divBdr>
    </w:div>
    <w:div w:id="1389525924">
      <w:bodyDiv w:val="1"/>
      <w:marLeft w:val="0"/>
      <w:marRight w:val="0"/>
      <w:marTop w:val="0"/>
      <w:marBottom w:val="0"/>
      <w:divBdr>
        <w:top w:val="none" w:sz="0" w:space="0" w:color="auto"/>
        <w:left w:val="none" w:sz="0" w:space="0" w:color="auto"/>
        <w:bottom w:val="none" w:sz="0" w:space="0" w:color="auto"/>
        <w:right w:val="none" w:sz="0" w:space="0" w:color="auto"/>
      </w:divBdr>
    </w:div>
    <w:div w:id="1425882274">
      <w:bodyDiv w:val="1"/>
      <w:marLeft w:val="0"/>
      <w:marRight w:val="0"/>
      <w:marTop w:val="0"/>
      <w:marBottom w:val="0"/>
      <w:divBdr>
        <w:top w:val="none" w:sz="0" w:space="0" w:color="auto"/>
        <w:left w:val="none" w:sz="0" w:space="0" w:color="auto"/>
        <w:bottom w:val="none" w:sz="0" w:space="0" w:color="auto"/>
        <w:right w:val="none" w:sz="0" w:space="0" w:color="auto"/>
      </w:divBdr>
    </w:div>
    <w:div w:id="1434134980">
      <w:bodyDiv w:val="1"/>
      <w:marLeft w:val="0"/>
      <w:marRight w:val="0"/>
      <w:marTop w:val="0"/>
      <w:marBottom w:val="0"/>
      <w:divBdr>
        <w:top w:val="none" w:sz="0" w:space="0" w:color="auto"/>
        <w:left w:val="none" w:sz="0" w:space="0" w:color="auto"/>
        <w:bottom w:val="none" w:sz="0" w:space="0" w:color="auto"/>
        <w:right w:val="none" w:sz="0" w:space="0" w:color="auto"/>
      </w:divBdr>
    </w:div>
    <w:div w:id="1462335472">
      <w:bodyDiv w:val="1"/>
      <w:marLeft w:val="0"/>
      <w:marRight w:val="0"/>
      <w:marTop w:val="0"/>
      <w:marBottom w:val="0"/>
      <w:divBdr>
        <w:top w:val="none" w:sz="0" w:space="0" w:color="auto"/>
        <w:left w:val="none" w:sz="0" w:space="0" w:color="auto"/>
        <w:bottom w:val="none" w:sz="0" w:space="0" w:color="auto"/>
        <w:right w:val="none" w:sz="0" w:space="0" w:color="auto"/>
      </w:divBdr>
    </w:div>
    <w:div w:id="1490712233">
      <w:bodyDiv w:val="1"/>
      <w:marLeft w:val="0"/>
      <w:marRight w:val="0"/>
      <w:marTop w:val="0"/>
      <w:marBottom w:val="0"/>
      <w:divBdr>
        <w:top w:val="none" w:sz="0" w:space="0" w:color="auto"/>
        <w:left w:val="none" w:sz="0" w:space="0" w:color="auto"/>
        <w:bottom w:val="none" w:sz="0" w:space="0" w:color="auto"/>
        <w:right w:val="none" w:sz="0" w:space="0" w:color="auto"/>
      </w:divBdr>
    </w:div>
    <w:div w:id="1517500405">
      <w:bodyDiv w:val="1"/>
      <w:marLeft w:val="0"/>
      <w:marRight w:val="0"/>
      <w:marTop w:val="0"/>
      <w:marBottom w:val="0"/>
      <w:divBdr>
        <w:top w:val="none" w:sz="0" w:space="0" w:color="auto"/>
        <w:left w:val="none" w:sz="0" w:space="0" w:color="auto"/>
        <w:bottom w:val="none" w:sz="0" w:space="0" w:color="auto"/>
        <w:right w:val="none" w:sz="0" w:space="0" w:color="auto"/>
      </w:divBdr>
    </w:div>
    <w:div w:id="1520699634">
      <w:bodyDiv w:val="1"/>
      <w:marLeft w:val="0"/>
      <w:marRight w:val="0"/>
      <w:marTop w:val="0"/>
      <w:marBottom w:val="0"/>
      <w:divBdr>
        <w:top w:val="none" w:sz="0" w:space="0" w:color="auto"/>
        <w:left w:val="none" w:sz="0" w:space="0" w:color="auto"/>
        <w:bottom w:val="none" w:sz="0" w:space="0" w:color="auto"/>
        <w:right w:val="none" w:sz="0" w:space="0" w:color="auto"/>
      </w:divBdr>
    </w:div>
    <w:div w:id="1564288400">
      <w:bodyDiv w:val="1"/>
      <w:marLeft w:val="0"/>
      <w:marRight w:val="0"/>
      <w:marTop w:val="0"/>
      <w:marBottom w:val="0"/>
      <w:divBdr>
        <w:top w:val="none" w:sz="0" w:space="0" w:color="auto"/>
        <w:left w:val="none" w:sz="0" w:space="0" w:color="auto"/>
        <w:bottom w:val="none" w:sz="0" w:space="0" w:color="auto"/>
        <w:right w:val="none" w:sz="0" w:space="0" w:color="auto"/>
      </w:divBdr>
    </w:div>
    <w:div w:id="1573348089">
      <w:bodyDiv w:val="1"/>
      <w:marLeft w:val="0"/>
      <w:marRight w:val="0"/>
      <w:marTop w:val="0"/>
      <w:marBottom w:val="0"/>
      <w:divBdr>
        <w:top w:val="none" w:sz="0" w:space="0" w:color="auto"/>
        <w:left w:val="none" w:sz="0" w:space="0" w:color="auto"/>
        <w:bottom w:val="none" w:sz="0" w:space="0" w:color="auto"/>
        <w:right w:val="none" w:sz="0" w:space="0" w:color="auto"/>
      </w:divBdr>
    </w:div>
    <w:div w:id="1662613597">
      <w:bodyDiv w:val="1"/>
      <w:marLeft w:val="0"/>
      <w:marRight w:val="0"/>
      <w:marTop w:val="0"/>
      <w:marBottom w:val="0"/>
      <w:divBdr>
        <w:top w:val="none" w:sz="0" w:space="0" w:color="auto"/>
        <w:left w:val="none" w:sz="0" w:space="0" w:color="auto"/>
        <w:bottom w:val="none" w:sz="0" w:space="0" w:color="auto"/>
        <w:right w:val="none" w:sz="0" w:space="0" w:color="auto"/>
      </w:divBdr>
    </w:div>
    <w:div w:id="1679842724">
      <w:bodyDiv w:val="1"/>
      <w:marLeft w:val="0"/>
      <w:marRight w:val="0"/>
      <w:marTop w:val="0"/>
      <w:marBottom w:val="0"/>
      <w:divBdr>
        <w:top w:val="none" w:sz="0" w:space="0" w:color="auto"/>
        <w:left w:val="none" w:sz="0" w:space="0" w:color="auto"/>
        <w:bottom w:val="none" w:sz="0" w:space="0" w:color="auto"/>
        <w:right w:val="none" w:sz="0" w:space="0" w:color="auto"/>
      </w:divBdr>
    </w:div>
    <w:div w:id="1682049329">
      <w:bodyDiv w:val="1"/>
      <w:marLeft w:val="0"/>
      <w:marRight w:val="0"/>
      <w:marTop w:val="0"/>
      <w:marBottom w:val="0"/>
      <w:divBdr>
        <w:top w:val="none" w:sz="0" w:space="0" w:color="auto"/>
        <w:left w:val="none" w:sz="0" w:space="0" w:color="auto"/>
        <w:bottom w:val="none" w:sz="0" w:space="0" w:color="auto"/>
        <w:right w:val="none" w:sz="0" w:space="0" w:color="auto"/>
      </w:divBdr>
    </w:div>
    <w:div w:id="1717046040">
      <w:bodyDiv w:val="1"/>
      <w:marLeft w:val="0"/>
      <w:marRight w:val="0"/>
      <w:marTop w:val="0"/>
      <w:marBottom w:val="0"/>
      <w:divBdr>
        <w:top w:val="none" w:sz="0" w:space="0" w:color="auto"/>
        <w:left w:val="none" w:sz="0" w:space="0" w:color="auto"/>
        <w:bottom w:val="none" w:sz="0" w:space="0" w:color="auto"/>
        <w:right w:val="none" w:sz="0" w:space="0" w:color="auto"/>
      </w:divBdr>
    </w:div>
    <w:div w:id="1771701294">
      <w:bodyDiv w:val="1"/>
      <w:marLeft w:val="0"/>
      <w:marRight w:val="0"/>
      <w:marTop w:val="0"/>
      <w:marBottom w:val="0"/>
      <w:divBdr>
        <w:top w:val="none" w:sz="0" w:space="0" w:color="auto"/>
        <w:left w:val="none" w:sz="0" w:space="0" w:color="auto"/>
        <w:bottom w:val="none" w:sz="0" w:space="0" w:color="auto"/>
        <w:right w:val="none" w:sz="0" w:space="0" w:color="auto"/>
      </w:divBdr>
    </w:div>
    <w:div w:id="1801416571">
      <w:bodyDiv w:val="1"/>
      <w:marLeft w:val="0"/>
      <w:marRight w:val="0"/>
      <w:marTop w:val="0"/>
      <w:marBottom w:val="0"/>
      <w:divBdr>
        <w:top w:val="none" w:sz="0" w:space="0" w:color="auto"/>
        <w:left w:val="none" w:sz="0" w:space="0" w:color="auto"/>
        <w:bottom w:val="none" w:sz="0" w:space="0" w:color="auto"/>
        <w:right w:val="none" w:sz="0" w:space="0" w:color="auto"/>
      </w:divBdr>
    </w:div>
    <w:div w:id="1812748570">
      <w:bodyDiv w:val="1"/>
      <w:marLeft w:val="0"/>
      <w:marRight w:val="0"/>
      <w:marTop w:val="0"/>
      <w:marBottom w:val="0"/>
      <w:divBdr>
        <w:top w:val="none" w:sz="0" w:space="0" w:color="auto"/>
        <w:left w:val="none" w:sz="0" w:space="0" w:color="auto"/>
        <w:bottom w:val="none" w:sz="0" w:space="0" w:color="auto"/>
        <w:right w:val="none" w:sz="0" w:space="0" w:color="auto"/>
      </w:divBdr>
    </w:div>
    <w:div w:id="1918326437">
      <w:bodyDiv w:val="1"/>
      <w:marLeft w:val="0"/>
      <w:marRight w:val="0"/>
      <w:marTop w:val="0"/>
      <w:marBottom w:val="0"/>
      <w:divBdr>
        <w:top w:val="none" w:sz="0" w:space="0" w:color="auto"/>
        <w:left w:val="none" w:sz="0" w:space="0" w:color="auto"/>
        <w:bottom w:val="none" w:sz="0" w:space="0" w:color="auto"/>
        <w:right w:val="none" w:sz="0" w:space="0" w:color="auto"/>
      </w:divBdr>
    </w:div>
    <w:div w:id="1919247407">
      <w:bodyDiv w:val="1"/>
      <w:marLeft w:val="0"/>
      <w:marRight w:val="0"/>
      <w:marTop w:val="0"/>
      <w:marBottom w:val="0"/>
      <w:divBdr>
        <w:top w:val="none" w:sz="0" w:space="0" w:color="auto"/>
        <w:left w:val="none" w:sz="0" w:space="0" w:color="auto"/>
        <w:bottom w:val="none" w:sz="0" w:space="0" w:color="auto"/>
        <w:right w:val="none" w:sz="0" w:space="0" w:color="auto"/>
      </w:divBdr>
    </w:div>
    <w:div w:id="1946838827">
      <w:bodyDiv w:val="1"/>
      <w:marLeft w:val="0"/>
      <w:marRight w:val="0"/>
      <w:marTop w:val="0"/>
      <w:marBottom w:val="0"/>
      <w:divBdr>
        <w:top w:val="none" w:sz="0" w:space="0" w:color="auto"/>
        <w:left w:val="none" w:sz="0" w:space="0" w:color="auto"/>
        <w:bottom w:val="none" w:sz="0" w:space="0" w:color="auto"/>
        <w:right w:val="none" w:sz="0" w:space="0" w:color="auto"/>
      </w:divBdr>
    </w:div>
    <w:div w:id="1982340530">
      <w:bodyDiv w:val="1"/>
      <w:marLeft w:val="0"/>
      <w:marRight w:val="0"/>
      <w:marTop w:val="0"/>
      <w:marBottom w:val="0"/>
      <w:divBdr>
        <w:top w:val="none" w:sz="0" w:space="0" w:color="auto"/>
        <w:left w:val="none" w:sz="0" w:space="0" w:color="auto"/>
        <w:bottom w:val="none" w:sz="0" w:space="0" w:color="auto"/>
        <w:right w:val="none" w:sz="0" w:space="0" w:color="auto"/>
      </w:divBdr>
    </w:div>
    <w:div w:id="2024549512">
      <w:bodyDiv w:val="1"/>
      <w:marLeft w:val="0"/>
      <w:marRight w:val="0"/>
      <w:marTop w:val="0"/>
      <w:marBottom w:val="0"/>
      <w:divBdr>
        <w:top w:val="none" w:sz="0" w:space="0" w:color="auto"/>
        <w:left w:val="none" w:sz="0" w:space="0" w:color="auto"/>
        <w:bottom w:val="none" w:sz="0" w:space="0" w:color="auto"/>
        <w:right w:val="none" w:sz="0" w:space="0" w:color="auto"/>
      </w:divBdr>
    </w:div>
    <w:div w:id="2043364870">
      <w:bodyDiv w:val="1"/>
      <w:marLeft w:val="0"/>
      <w:marRight w:val="0"/>
      <w:marTop w:val="0"/>
      <w:marBottom w:val="0"/>
      <w:divBdr>
        <w:top w:val="none" w:sz="0" w:space="0" w:color="auto"/>
        <w:left w:val="none" w:sz="0" w:space="0" w:color="auto"/>
        <w:bottom w:val="none" w:sz="0" w:space="0" w:color="auto"/>
        <w:right w:val="none" w:sz="0" w:space="0" w:color="auto"/>
      </w:divBdr>
    </w:div>
    <w:div w:id="2049063565">
      <w:bodyDiv w:val="1"/>
      <w:marLeft w:val="0"/>
      <w:marRight w:val="0"/>
      <w:marTop w:val="0"/>
      <w:marBottom w:val="0"/>
      <w:divBdr>
        <w:top w:val="none" w:sz="0" w:space="0" w:color="auto"/>
        <w:left w:val="none" w:sz="0" w:space="0" w:color="auto"/>
        <w:bottom w:val="none" w:sz="0" w:space="0" w:color="auto"/>
        <w:right w:val="none" w:sz="0" w:space="0" w:color="auto"/>
      </w:divBdr>
    </w:div>
    <w:div w:id="2058357958">
      <w:bodyDiv w:val="1"/>
      <w:marLeft w:val="0"/>
      <w:marRight w:val="0"/>
      <w:marTop w:val="0"/>
      <w:marBottom w:val="0"/>
      <w:divBdr>
        <w:top w:val="none" w:sz="0" w:space="0" w:color="auto"/>
        <w:left w:val="none" w:sz="0" w:space="0" w:color="auto"/>
        <w:bottom w:val="none" w:sz="0" w:space="0" w:color="auto"/>
        <w:right w:val="none" w:sz="0" w:space="0" w:color="auto"/>
      </w:divBdr>
    </w:div>
    <w:div w:id="2068532822">
      <w:bodyDiv w:val="1"/>
      <w:marLeft w:val="0"/>
      <w:marRight w:val="0"/>
      <w:marTop w:val="0"/>
      <w:marBottom w:val="0"/>
      <w:divBdr>
        <w:top w:val="none" w:sz="0" w:space="0" w:color="auto"/>
        <w:left w:val="none" w:sz="0" w:space="0" w:color="auto"/>
        <w:bottom w:val="none" w:sz="0" w:space="0" w:color="auto"/>
        <w:right w:val="none" w:sz="0" w:space="0" w:color="auto"/>
      </w:divBdr>
    </w:div>
    <w:div w:id="2089570354">
      <w:bodyDiv w:val="1"/>
      <w:marLeft w:val="0"/>
      <w:marRight w:val="0"/>
      <w:marTop w:val="0"/>
      <w:marBottom w:val="0"/>
      <w:divBdr>
        <w:top w:val="none" w:sz="0" w:space="0" w:color="auto"/>
        <w:left w:val="none" w:sz="0" w:space="0" w:color="auto"/>
        <w:bottom w:val="none" w:sz="0" w:space="0" w:color="auto"/>
        <w:right w:val="none" w:sz="0" w:space="0" w:color="auto"/>
      </w:divBdr>
    </w:div>
    <w:div w:id="2095588584">
      <w:bodyDiv w:val="1"/>
      <w:marLeft w:val="0"/>
      <w:marRight w:val="0"/>
      <w:marTop w:val="0"/>
      <w:marBottom w:val="0"/>
      <w:divBdr>
        <w:top w:val="none" w:sz="0" w:space="0" w:color="auto"/>
        <w:left w:val="none" w:sz="0" w:space="0" w:color="auto"/>
        <w:bottom w:val="none" w:sz="0" w:space="0" w:color="auto"/>
        <w:right w:val="none" w:sz="0" w:space="0" w:color="auto"/>
      </w:divBdr>
    </w:div>
    <w:div w:id="21411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A2E6-F51A-4AF0-A309-8143AA14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3677</Words>
  <Characters>20229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DELGADO VALENCIA</dc:creator>
  <cp:keywords/>
  <dc:description/>
  <cp:lastModifiedBy>Carlos Eduardo Maldonado Granados</cp:lastModifiedBy>
  <cp:revision>18</cp:revision>
  <cp:lastPrinted>2018-10-03T21:25:00Z</cp:lastPrinted>
  <dcterms:created xsi:type="dcterms:W3CDTF">2020-01-07T16:23:00Z</dcterms:created>
  <dcterms:modified xsi:type="dcterms:W3CDTF">2020-01-08T21:04:00Z</dcterms:modified>
</cp:coreProperties>
</file>